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type="auto" w:w="0"/>
        <w:tblLook w:firstColumn="1" w:firstRow="1" w:lastColumn="0" w:lastRow="0" w:noHBand="0" w:noVBand="1" w:val="04A0"/>
        <w:tblBorders>
          <w:top w:val="none"/>
          <w:left w:val="none"/>
          <w:bottom w:val="none"/>
          <w:right w:val="none"/>
          <w:insideH w:val="none"/>
          <w:insideV w:val="none"/>
        </w:tblBorders>
        <w:tblLayout w:type="fixed"/>
        <w:tblCellMar>
          <w:top w:w="0" w:type="dxa"/>
          <w:left w:w="0" w:type="dxa"/>
          <w:bottom w:w="0" w:type="dxa"/>
          <w:right w:w="0" w:type="dxa"/>
        </w:tblCellMar>
        <w:tblLayout w:type="fixed"/>
      </w:tblPr>
      <w:tblGrid>
        <w:gridCol w:w="2608"/>
        <w:gridCol w:w="6973"/>
      </w:tblGrid>
      <w:tr>
        <w:tc>
          <w:tcPr>
            <w:tcW w:type="dxa" w:w="2608"/>
            <w:vAlign w:val="center"/>
          </w:tcPr>
          <w:p>
            <w:pPr>
              <w:spacing w:after="0"/>
              <w:jc w:val="left"/>
            </w:pPr>
            <w:r>
              <w:drawing>
                <wp:inline xmlns:a="http://schemas.openxmlformats.org/drawingml/2006/main" xmlns:pic="http://schemas.openxmlformats.org/drawingml/2006/picture">
                  <wp:extent cx="922413" cy="936000"/>
                  <wp:docPr id="1" name="Picture 1"/>
                  <wp:cNvGraphicFramePr>
                    <a:graphicFrameLocks noChangeAspect="1"/>
                  </wp:cNvGraphicFramePr>
                  <a:graphic>
                    <a:graphicData uri="http://schemas.openxmlformats.org/drawingml/2006/picture">
                      <pic:pic>
                        <pic:nvPicPr>
                          <pic:cNvPr id="0" name="logo_letterhead_en.jpg"/>
                          <pic:cNvPicPr/>
                        </pic:nvPicPr>
                        <pic:blipFill>
                          <a:blip r:embed="rId13"/>
                          <a:stretch>
                            <a:fillRect/>
                          </a:stretch>
                        </pic:blipFill>
                        <pic:spPr>
                          <a:xfrm>
                            <a:off x="0" y="0"/>
                            <a:ext cx="922413" cy="936000"/>
                          </a:xfrm>
                          <a:prstGeom prst="rect"/>
                        </pic:spPr>
                      </pic:pic>
                    </a:graphicData>
                  </a:graphic>
                </wp:inline>
              </w:drawing>
            </w:r>
          </w:p>
        </w:tc>
        <w:tc>
          <w:tcPr>
            <w:tcW w:type="dxa" w:w="6973"/>
            <w:vAlign w:val="center"/>
          </w:tcPr>
          <w:p>
            <w:pPr>
              <w:spacing w:after="40"/>
              <w:jc w:val="right"/>
            </w:pPr>
            <w:r>
              <w:rPr>
                <w:rFonts w:ascii="Arial" w:hAnsi="Arial" w:cs="Arial" w:eastAsia="Arial"/>
                <w:b/>
                <w:i w:val="0"/>
                <w:color w:val="0A2547"/>
                <w:sz w:val="19"/>
              </w:rPr>
              <w:t>CASPIAN OIL INDUSTRIAL COMPANY LLP</w:t>
            </w:r>
          </w:p>
          <w:p>
            <w:pPr>
              <w:spacing w:after="20"/>
              <w:jc w:val="right"/>
            </w:pPr>
            <w:r>
              <w:rPr>
                <w:rFonts w:ascii="Arial" w:hAnsi="Arial" w:cs="Arial" w:eastAsia="Arial"/>
                <w:b w:val="0"/>
                <w:i w:val="0"/>
                <w:color w:val="5A6572"/>
                <w:sz w:val="16"/>
              </w:rPr>
              <w:t>Republic of Kazakhstan, Mangistau Region, Aktau, 130000, Industrial Zone 5, 65</w:t>
            </w:r>
          </w:p>
          <w:p>
            <w:pPr>
              <w:spacing w:after="20"/>
              <w:jc w:val="right"/>
            </w:pPr>
            <w:r>
              <w:rPr>
                <w:rFonts w:ascii="Arial" w:hAnsi="Arial" w:cs="Arial" w:eastAsia="Arial"/>
                <w:b w:val="0"/>
                <w:i w:val="0"/>
                <w:color w:val="5A6572"/>
                <w:sz w:val="16"/>
              </w:rPr>
              <w:t>Tel.: 8 800 005 00 43 (Kazakhstan)  ·  E-mail: office@caspian-oil.com</w:t>
            </w:r>
          </w:p>
          <w:p>
            <w:pPr>
              <w:spacing w:after="20"/>
              <w:jc w:val="right"/>
            </w:pPr>
            <w:r>
              <w:rPr>
                <w:rFonts w:ascii="Arial" w:hAnsi="Arial" w:cs="Arial" w:eastAsia="Arial"/>
                <w:b w:val="0"/>
                <w:i w:val="0"/>
                <w:color w:val="5A6572"/>
                <w:sz w:val="16"/>
              </w:rPr>
              <w:t>caspian-oil.com  ·  A member of United Energy Group Limited</w:t>
            </w:r>
          </w:p>
        </w:tc>
      </w:tr>
    </w:tbl>
    <w:p>
      <w:pPr>
        <w:spacing w:before="120" w:after="0"/>
        <w:pBdr>
          <w:bottom w:val="single" w:sz="16" w:space="0" w:color="0A2547"/>
        </w:pBdr>
      </w:pPr>
      <w:r>
        <w:rPr>
          <w:rFonts w:ascii="Times New Roman" w:hAnsi="Times New Roman" w:cs="Times New Roman" w:eastAsia="Times New Roman"/>
          <w:b w:val="0"/>
          <w:i w:val="0"/>
          <w:sz w:val="4"/>
        </w:rPr>
      </w:r>
    </w:p>
    <w:p>
      <w:pPr>
        <w:spacing w:before="20" w:after="200"/>
        <w:pBdr>
          <w:bottom w:val="single" w:sz="6" w:space="0" w:color="C9A227"/>
        </w:pBdr>
      </w:pPr>
      <w:r>
        <w:rPr>
          <w:rFonts w:ascii="Times New Roman" w:hAnsi="Times New Roman" w:cs="Times New Roman" w:eastAsia="Times New Roman"/>
          <w:b w:val="0"/>
          <w:i w:val="0"/>
          <w:sz w:val="4"/>
        </w:rPr>
      </w:r>
    </w:p>
    <w:p>
      <w:pPr>
        <w:spacing w:after="20"/>
        <w:ind w:left="5216"/>
      </w:pPr>
      <w:r>
        <w:rPr>
          <w:rFonts w:ascii="Arial" w:hAnsi="Arial" w:cs="Arial" w:eastAsia="Arial"/>
          <w:b/>
          <w:i w:val="0"/>
          <w:color w:val="0A2547"/>
          <w:sz w:val="21"/>
        </w:rPr>
        <w:t>APPROVED</w:t>
      </w:r>
    </w:p>
    <w:p>
      <w:pPr>
        <w:spacing w:after="20"/>
        <w:ind w:left="5216"/>
      </w:pPr>
      <w:r>
        <w:rPr>
          <w:rFonts w:ascii="Times New Roman" w:hAnsi="Times New Roman" w:cs="Times New Roman" w:eastAsia="Times New Roman"/>
          <w:b w:val="0"/>
          <w:i w:val="0"/>
          <w:sz w:val="21"/>
        </w:rPr>
        <w:t>by resolution of the Management Board of</w:t>
      </w:r>
    </w:p>
    <w:p>
      <w:pPr>
        <w:spacing w:after="20"/>
        <w:ind w:left="5216"/>
      </w:pPr>
      <w:r>
        <w:rPr>
          <w:rFonts w:ascii="Times New Roman" w:hAnsi="Times New Roman" w:cs="Times New Roman" w:eastAsia="Times New Roman"/>
          <w:b w:val="0"/>
          <w:i w:val="0"/>
          <w:sz w:val="21"/>
        </w:rPr>
        <w:t>Caspian Oil Industrial Company LLP</w:t>
      </w:r>
    </w:p>
    <w:p>
      <w:pPr>
        <w:spacing w:after="20"/>
        <w:ind w:left="5216"/>
      </w:pPr>
      <w:r>
        <w:rPr>
          <w:rFonts w:ascii="Times New Roman" w:hAnsi="Times New Roman" w:cs="Times New Roman" w:eastAsia="Times New Roman"/>
          <w:b w:val="0"/>
          <w:i w:val="0"/>
          <w:sz w:val="21"/>
        </w:rPr>
        <w:t>(Minutes No. 02 dated 12 January 2026)</w:t>
      </w:r>
    </w:p>
    <w:p>
      <w:pPr>
        <w:spacing w:before="280" w:after="40"/>
        <w:jc w:val="center"/>
      </w:pPr>
      <w:r>
        <w:rPr>
          <w:rFonts w:ascii="Arial" w:hAnsi="Arial" w:cs="Arial" w:eastAsia="Arial"/>
          <w:b/>
          <w:i w:val="0"/>
          <w:color w:val="0A2547"/>
          <w:sz w:val="32"/>
          <w:spacing w:val="36"/>
        </w:rPr>
        <w:t>TEMPORARY RULES</w:t>
      </w:r>
    </w:p>
    <w:p>
      <w:pPr>
        <w:spacing w:after="160"/>
        <w:jc w:val="center"/>
      </w:pPr>
      <w:r>
        <w:rPr>
          <w:rFonts w:ascii="Arial" w:hAnsi="Arial" w:cs="Arial" w:eastAsia="Arial"/>
          <w:b/>
          <w:i w:val="0"/>
          <w:color w:val="0A2547"/>
          <w:sz w:val="25"/>
          <w:spacing w:val="16"/>
        </w:rPr>
        <w:t>for the sale of products of Caspian Oil Industrial Company LLP</w:t>
      </w:r>
    </w:p>
    <w:p>
      <w:pPr>
        <w:keepNext/>
        <w:spacing w:before="240" w:after="120"/>
        <w:jc w:val="center"/>
      </w:pPr>
      <w:r>
        <w:rPr>
          <w:rFonts w:ascii="Arial" w:hAnsi="Arial" w:cs="Arial" w:eastAsia="Arial"/>
          <w:b/>
          <w:i w:val="0"/>
          <w:color w:val="C9A227"/>
          <w:sz w:val="23"/>
        </w:rPr>
        <w:t>1.</w:t>
      </w:r>
      <w:r>
        <w:rPr>
          <w:rFonts w:ascii="Arial" w:hAnsi="Arial" w:cs="Arial" w:eastAsia="Arial"/>
          <w:b/>
          <w:i w:val="0"/>
          <w:color w:val="0A2547"/>
          <w:sz w:val="23"/>
        </w:rPr>
        <w:t xml:space="preserve"> GENERAL PROVISIONS</w:t>
      </w:r>
    </w:p>
    <w:p>
      <w:pPr>
        <w:spacing w:before="0" w:after="60"/>
        <w:ind w:firstLine="510"/>
        <w:jc w:val="both"/>
      </w:pPr>
      <w:r>
        <w:rPr>
          <w:rFonts w:ascii="Times New Roman" w:hAnsi="Times New Roman" w:cs="Times New Roman" w:eastAsia="Times New Roman"/>
          <w:b w:val="0"/>
          <w:i w:val="0"/>
          <w:sz w:val="22"/>
        </w:rPr>
        <w:t>1.1. These Temporary Rules for the sale of products of Caspian Oil Industrial Company LLP (the “Rules”) govern the procedure for the sale of products (petroleum products) of Caspian Oil Industrial Company LLP (the “Company”) by way of an ascending-price auction, including products:</w:t>
      </w:r>
    </w:p>
    <w:p>
      <w:pPr>
        <w:spacing w:before="0" w:after="40"/>
        <w:ind w:left="510"/>
        <w:jc w:val="both"/>
      </w:pPr>
      <w:r>
        <w:rPr>
          <w:rFonts w:ascii="Times New Roman" w:hAnsi="Times New Roman" w:cs="Times New Roman" w:eastAsia="Times New Roman"/>
          <w:b w:val="0"/>
          <w:i w:val="0"/>
          <w:sz w:val="22"/>
        </w:rPr>
        <w:t>– produced from feedstock (crude oil, etc.) purchased by the Company itself;</w:t>
      </w:r>
    </w:p>
    <w:p>
      <w:pPr>
        <w:spacing w:before="0" w:after="40"/>
        <w:ind w:left="510"/>
        <w:jc w:val="both"/>
      </w:pPr>
      <w:r>
        <w:rPr>
          <w:rFonts w:ascii="Times New Roman" w:hAnsi="Times New Roman" w:cs="Times New Roman" w:eastAsia="Times New Roman"/>
          <w:b w:val="0"/>
          <w:i w:val="0"/>
          <w:sz w:val="22"/>
        </w:rPr>
        <w:t>– produced by the Company from tolling feedstock supplied by third-party tolling customers;</w:t>
      </w:r>
    </w:p>
    <w:p>
      <w:pPr>
        <w:spacing w:before="0" w:after="40"/>
        <w:ind w:left="510"/>
        <w:jc w:val="both"/>
      </w:pPr>
      <w:r>
        <w:rPr>
          <w:rFonts w:ascii="Times New Roman" w:hAnsi="Times New Roman" w:cs="Times New Roman" w:eastAsia="Times New Roman"/>
          <w:b w:val="0"/>
          <w:i w:val="0"/>
          <w:sz w:val="22"/>
        </w:rPr>
        <w:t>– purchased from other third parties.</w:t>
      </w:r>
    </w:p>
    <w:p>
      <w:pPr>
        <w:spacing w:before="0" w:after="60"/>
        <w:ind w:firstLine="510"/>
        <w:jc w:val="both"/>
      </w:pPr>
      <w:r>
        <w:rPr>
          <w:rFonts w:ascii="Times New Roman" w:hAnsi="Times New Roman" w:cs="Times New Roman" w:eastAsia="Times New Roman"/>
          <w:b w:val="0"/>
          <w:i w:val="0"/>
          <w:sz w:val="22"/>
        </w:rPr>
        <w:t>1.2. The term of validity of these Rules is determined by a resolution of the Company's Management Board.</w:t>
      </w:r>
    </w:p>
    <w:p>
      <w:pPr>
        <w:keepNext/>
        <w:spacing w:before="240" w:after="120"/>
        <w:jc w:val="center"/>
      </w:pPr>
      <w:r>
        <w:rPr>
          <w:rFonts w:ascii="Arial" w:hAnsi="Arial" w:cs="Arial" w:eastAsia="Arial"/>
          <w:b/>
          <w:i w:val="0"/>
          <w:color w:val="C9A227"/>
          <w:sz w:val="23"/>
        </w:rPr>
        <w:t>2.</w:t>
      </w:r>
      <w:r>
        <w:rPr>
          <w:rFonts w:ascii="Arial" w:hAnsi="Arial" w:cs="Arial" w:eastAsia="Arial"/>
          <w:b/>
          <w:i w:val="0"/>
          <w:color w:val="0A2547"/>
          <w:sz w:val="23"/>
        </w:rPr>
        <w:t xml:space="preserve"> DEFINITIONS</w:t>
      </w:r>
    </w:p>
    <w:p>
      <w:pPr>
        <w:spacing w:before="0" w:after="60"/>
        <w:ind w:firstLine="510"/>
        <w:jc w:val="both"/>
      </w:pPr>
      <w:r>
        <w:rPr>
          <w:rFonts w:ascii="Times New Roman" w:hAnsi="Times New Roman" w:cs="Times New Roman" w:eastAsia="Times New Roman"/>
          <w:b w:val="0"/>
          <w:i w:val="0"/>
          <w:sz w:val="22"/>
        </w:rPr>
        <w:t>2.1. Management Board — the collegial executive body of the Company exercising general day-to-day management of the Company's activities.</w:t>
      </w:r>
    </w:p>
    <w:p>
      <w:pPr>
        <w:spacing w:before="0" w:after="60"/>
        <w:ind w:firstLine="510"/>
        <w:jc w:val="both"/>
      </w:pPr>
      <w:r>
        <w:rPr>
          <w:rFonts w:ascii="Times New Roman" w:hAnsi="Times New Roman" w:cs="Times New Roman" w:eastAsia="Times New Roman"/>
          <w:b w:val="0"/>
          <w:i w:val="0"/>
          <w:sz w:val="22"/>
        </w:rPr>
        <w:t>2.2. Product Sales Commission (the “Commission”) — the collegial body responsible for preparing, organising, conducting and summing up the results of the sale of the Company's products.</w:t>
      </w:r>
    </w:p>
    <w:p>
      <w:pPr>
        <w:spacing w:before="0" w:after="60"/>
        <w:ind w:firstLine="510"/>
        <w:jc w:val="both"/>
      </w:pPr>
      <w:r>
        <w:rPr>
          <w:rFonts w:ascii="Times New Roman" w:hAnsi="Times New Roman" w:cs="Times New Roman" w:eastAsia="Times New Roman"/>
          <w:b w:val="0"/>
          <w:i w:val="0"/>
          <w:sz w:val="22"/>
        </w:rPr>
        <w:t>2.3. Tolling Customer — a legal entity supplying feedstock to the Company's oil refinery for subsequent processing into petroleum products.</w:t>
      </w:r>
    </w:p>
    <w:p>
      <w:pPr>
        <w:spacing w:before="0" w:after="60"/>
        <w:ind w:firstLine="510"/>
        <w:jc w:val="both"/>
      </w:pPr>
      <w:r>
        <w:rPr>
          <w:rFonts w:ascii="Times New Roman" w:hAnsi="Times New Roman" w:cs="Times New Roman" w:eastAsia="Times New Roman"/>
          <w:b w:val="0"/>
          <w:i w:val="0"/>
          <w:sz w:val="22"/>
        </w:rPr>
        <w:t>2.4. Bidder — a legal entity admitted by the Commission to participate in the auction.</w:t>
      </w:r>
    </w:p>
    <w:p>
      <w:pPr>
        <w:spacing w:before="0" w:after="60"/>
        <w:ind w:firstLine="510"/>
        <w:jc w:val="both"/>
      </w:pPr>
      <w:r>
        <w:rPr>
          <w:rFonts w:ascii="Times New Roman" w:hAnsi="Times New Roman" w:cs="Times New Roman" w:eastAsia="Times New Roman"/>
          <w:b w:val="0"/>
          <w:i w:val="0"/>
          <w:sz w:val="22"/>
        </w:rPr>
        <w:t>2.5. Lot — a consignment of petroleum products put up for auction.</w:t>
      </w:r>
    </w:p>
    <w:p>
      <w:pPr>
        <w:spacing w:before="0" w:after="60"/>
        <w:ind w:firstLine="510"/>
        <w:jc w:val="both"/>
      </w:pPr>
      <w:r>
        <w:rPr>
          <w:rFonts w:ascii="Times New Roman" w:hAnsi="Times New Roman" w:cs="Times New Roman" w:eastAsia="Times New Roman"/>
          <w:b w:val="0"/>
          <w:i w:val="0"/>
          <w:sz w:val="22"/>
        </w:rPr>
        <w:t>2.6. Starting price — the minimum price for the products put up for auction, approved by the Company's Management Board.</w:t>
      </w:r>
    </w:p>
    <w:p>
      <w:pPr>
        <w:spacing w:before="0" w:after="60"/>
        <w:ind w:firstLine="510"/>
        <w:jc w:val="both"/>
      </w:pPr>
      <w:r>
        <w:rPr>
          <w:rFonts w:ascii="Times New Roman" w:hAnsi="Times New Roman" w:cs="Times New Roman" w:eastAsia="Times New Roman"/>
          <w:b w:val="0"/>
          <w:i w:val="0"/>
          <w:sz w:val="22"/>
        </w:rPr>
        <w:t>2.7. Standard Sales Agreement — the sale and purchase agreement for petroleum products concluded following the auction between the Company (as the Seller) and the winning Bidder (as the Buyer), freely available on the Company's official website: caspian-oil.com.</w:t>
      </w:r>
    </w:p>
    <w:p>
      <w:pPr>
        <w:spacing w:before="0" w:after="60"/>
        <w:ind w:firstLine="510"/>
        <w:jc w:val="both"/>
      </w:pPr>
      <w:r>
        <w:rPr>
          <w:rFonts w:ascii="Times New Roman" w:hAnsi="Times New Roman" w:cs="Times New Roman" w:eastAsia="Times New Roman"/>
          <w:b w:val="0"/>
          <w:i w:val="0"/>
          <w:sz w:val="22"/>
        </w:rPr>
        <w:t>2.8. Lot terms — the name of the petroleum product, the quality characteristics of the products, the quantity, the starting price, the bid increment and the amount of the guarantee deposit for the lot.</w:t>
      </w:r>
    </w:p>
    <w:p>
      <w:pPr>
        <w:spacing w:before="0" w:after="60"/>
        <w:ind w:firstLine="510"/>
        <w:jc w:val="both"/>
      </w:pPr>
      <w:r>
        <w:rPr>
          <w:rFonts w:ascii="Times New Roman" w:hAnsi="Times New Roman" w:cs="Times New Roman" w:eastAsia="Times New Roman"/>
          <w:b w:val="0"/>
          <w:i w:val="0"/>
          <w:sz w:val="22"/>
        </w:rPr>
        <w:t>2.9. Guarantee deposit — the amount paid in advance by a Bidder for each individual lot to confirm the Bidder's solvency to the Commission.</w:t>
      </w:r>
    </w:p>
    <w:p>
      <w:pPr>
        <w:keepNext/>
        <w:spacing w:before="240" w:after="120"/>
        <w:jc w:val="center"/>
      </w:pPr>
      <w:r>
        <w:rPr>
          <w:rFonts w:ascii="Arial" w:hAnsi="Arial" w:cs="Arial" w:eastAsia="Arial"/>
          <w:b/>
          <w:i w:val="0"/>
          <w:color w:val="C9A227"/>
          <w:sz w:val="23"/>
        </w:rPr>
        <w:t>3.</w:t>
      </w:r>
      <w:r>
        <w:rPr>
          <w:rFonts w:ascii="Arial" w:hAnsi="Arial" w:cs="Arial" w:eastAsia="Arial"/>
          <w:b/>
          <w:i w:val="0"/>
          <w:color w:val="0A2547"/>
          <w:sz w:val="23"/>
        </w:rPr>
        <w:t xml:space="preserve"> THE COMMISSION</w:t>
      </w:r>
    </w:p>
    <w:p>
      <w:pPr>
        <w:spacing w:before="0" w:after="60"/>
        <w:ind w:firstLine="510"/>
        <w:jc w:val="both"/>
      </w:pPr>
      <w:r>
        <w:rPr>
          <w:rFonts w:ascii="Times New Roman" w:hAnsi="Times New Roman" w:cs="Times New Roman" w:eastAsia="Times New Roman"/>
          <w:b w:val="0"/>
          <w:i w:val="0"/>
          <w:sz w:val="22"/>
        </w:rPr>
        <w:t>3.1. The composition of the Commission is approved by an order of the Company's General Director. The Commission consists of four employees of the Company:</w:t>
      </w:r>
    </w:p>
    <w:p>
      <w:pPr>
        <w:spacing w:before="0" w:after="40"/>
        <w:ind w:left="510"/>
        <w:jc w:val="both"/>
      </w:pPr>
      <w:r>
        <w:rPr>
          <w:rFonts w:ascii="Times New Roman" w:hAnsi="Times New Roman" w:cs="Times New Roman" w:eastAsia="Times New Roman"/>
          <w:b w:val="0"/>
          <w:i w:val="0"/>
          <w:sz w:val="22"/>
        </w:rPr>
        <w:t>– an employee of the marketing and logistics department, acting as Chairman of the Commission;</w:t>
      </w:r>
    </w:p>
    <w:p>
      <w:pPr>
        <w:spacing w:before="0" w:after="40"/>
        <w:ind w:left="510"/>
        <w:jc w:val="both"/>
      </w:pPr>
      <w:r>
        <w:rPr>
          <w:rFonts w:ascii="Times New Roman" w:hAnsi="Times New Roman" w:cs="Times New Roman" w:eastAsia="Times New Roman"/>
          <w:b w:val="0"/>
          <w:i w:val="0"/>
          <w:sz w:val="22"/>
        </w:rPr>
        <w:t>– employees of the legal department, the finance department and the information technology department, acting as members of the Commission.</w:t>
      </w:r>
    </w:p>
    <w:p>
      <w:pPr>
        <w:spacing w:before="0" w:after="60"/>
        <w:ind w:firstLine="510"/>
        <w:jc w:val="both"/>
      </w:pPr>
      <w:r>
        <w:rPr>
          <w:rFonts w:ascii="Times New Roman" w:hAnsi="Times New Roman" w:cs="Times New Roman" w:eastAsia="Times New Roman"/>
          <w:b w:val="0"/>
          <w:i w:val="0"/>
          <w:sz w:val="22"/>
        </w:rPr>
        <w:t>3.2. The Commission:</w:t>
      </w:r>
    </w:p>
    <w:p>
      <w:pPr>
        <w:spacing w:before="0" w:after="40"/>
        <w:ind w:left="510"/>
        <w:jc w:val="both"/>
      </w:pPr>
      <w:r>
        <w:rPr>
          <w:rFonts w:ascii="Times New Roman" w:hAnsi="Times New Roman" w:cs="Times New Roman" w:eastAsia="Times New Roman"/>
          <w:b w:val="0"/>
          <w:i w:val="0"/>
          <w:sz w:val="22"/>
        </w:rPr>
        <w:t>– sets the date and time of the sale;</w:t>
      </w:r>
    </w:p>
    <w:p>
      <w:pPr>
        <w:spacing w:before="0" w:after="40"/>
        <w:ind w:left="510"/>
        <w:jc w:val="both"/>
      </w:pPr>
      <w:r>
        <w:rPr>
          <w:rFonts w:ascii="Times New Roman" w:hAnsi="Times New Roman" w:cs="Times New Roman" w:eastAsia="Times New Roman"/>
          <w:b w:val="0"/>
          <w:i w:val="0"/>
          <w:sz w:val="22"/>
        </w:rPr>
        <w:t>– sends the notice of the sale of products to potential Bidders, specifying the lot terms approved by the Management Board;</w:t>
      </w:r>
    </w:p>
    <w:p>
      <w:pPr>
        <w:spacing w:before="0" w:after="40"/>
        <w:ind w:left="510"/>
        <w:jc w:val="both"/>
      </w:pPr>
      <w:r>
        <w:rPr>
          <w:rFonts w:ascii="Times New Roman" w:hAnsi="Times New Roman" w:cs="Times New Roman" w:eastAsia="Times New Roman"/>
          <w:b w:val="0"/>
          <w:i w:val="0"/>
          <w:sz w:val="22"/>
        </w:rPr>
        <w:t>– determines the list of Bidders and draws up the corresponding minutes;</w:t>
      </w:r>
    </w:p>
    <w:p>
      <w:pPr>
        <w:spacing w:before="0" w:after="40"/>
        <w:ind w:left="510"/>
        <w:jc w:val="both"/>
      </w:pPr>
      <w:r>
        <w:rPr>
          <w:rFonts w:ascii="Times New Roman" w:hAnsi="Times New Roman" w:cs="Times New Roman" w:eastAsia="Times New Roman"/>
          <w:b w:val="0"/>
          <w:i w:val="0"/>
          <w:sz w:val="22"/>
        </w:rPr>
        <w:t>– conducts the auction;</w:t>
      </w:r>
    </w:p>
    <w:p>
      <w:pPr>
        <w:spacing w:before="0" w:after="40"/>
        <w:ind w:left="510"/>
        <w:jc w:val="both"/>
      </w:pPr>
      <w:r>
        <w:rPr>
          <w:rFonts w:ascii="Times New Roman" w:hAnsi="Times New Roman" w:cs="Times New Roman" w:eastAsia="Times New Roman"/>
          <w:b w:val="0"/>
          <w:i w:val="0"/>
          <w:sz w:val="22"/>
        </w:rPr>
        <w:t>– sums up the results of the auction, draws up the corresponding minutes and announces the winner.</w:t>
      </w:r>
    </w:p>
    <w:p>
      <w:pPr>
        <w:keepNext/>
        <w:spacing w:before="240" w:after="120"/>
        <w:jc w:val="center"/>
      </w:pPr>
      <w:r>
        <w:rPr>
          <w:rFonts w:ascii="Arial" w:hAnsi="Arial" w:cs="Arial" w:eastAsia="Arial"/>
          <w:b/>
          <w:i w:val="0"/>
          <w:color w:val="C9A227"/>
          <w:sz w:val="23"/>
        </w:rPr>
        <w:t>4.</w:t>
      </w:r>
      <w:r>
        <w:rPr>
          <w:rFonts w:ascii="Arial" w:hAnsi="Arial" w:cs="Arial" w:eastAsia="Arial"/>
          <w:b/>
          <w:i w:val="0"/>
          <w:color w:val="0A2547"/>
          <w:sz w:val="23"/>
        </w:rPr>
        <w:t xml:space="preserve"> BIDDERS</w:t>
      </w:r>
    </w:p>
    <w:p>
      <w:pPr>
        <w:spacing w:before="0" w:after="60"/>
        <w:ind w:firstLine="510"/>
        <w:jc w:val="both"/>
      </w:pPr>
      <w:r>
        <w:rPr>
          <w:rFonts w:ascii="Times New Roman" w:hAnsi="Times New Roman" w:cs="Times New Roman" w:eastAsia="Times New Roman"/>
          <w:b w:val="0"/>
          <w:i w:val="0"/>
          <w:sz w:val="22"/>
        </w:rPr>
        <w:t>4.1. Legal entities are admitted to the auction if they:</w:t>
      </w:r>
    </w:p>
    <w:p>
      <w:pPr>
        <w:spacing w:before="0" w:after="40"/>
        <w:ind w:left="510"/>
        <w:jc w:val="both"/>
      </w:pPr>
      <w:r>
        <w:rPr>
          <w:rFonts w:ascii="Times New Roman" w:hAnsi="Times New Roman" w:cs="Times New Roman" w:eastAsia="Times New Roman"/>
          <w:b w:val="0"/>
          <w:i w:val="0"/>
          <w:sz w:val="22"/>
        </w:rPr>
        <w:t>– have the civil legal capacity to conclude the agreement;</w:t>
      </w:r>
    </w:p>
    <w:p>
      <w:pPr>
        <w:spacing w:before="0" w:after="40"/>
        <w:ind w:left="510"/>
        <w:jc w:val="both"/>
      </w:pPr>
      <w:r>
        <w:rPr>
          <w:rFonts w:ascii="Times New Roman" w:hAnsi="Times New Roman" w:cs="Times New Roman" w:eastAsia="Times New Roman"/>
          <w:b w:val="0"/>
          <w:i w:val="0"/>
          <w:sz w:val="22"/>
        </w:rPr>
        <w:t>– are registered payers of value added tax;</w:t>
      </w:r>
    </w:p>
    <w:p>
      <w:pPr>
        <w:spacing w:before="0" w:after="40"/>
        <w:ind w:left="510"/>
        <w:jc w:val="both"/>
      </w:pPr>
      <w:r>
        <w:rPr>
          <w:rFonts w:ascii="Times New Roman" w:hAnsi="Times New Roman" w:cs="Times New Roman" w:eastAsia="Times New Roman"/>
          <w:b w:val="0"/>
          <w:i w:val="0"/>
          <w:sz w:val="22"/>
        </w:rPr>
        <w:t>– have paid the guarantee deposit covering the starting price of each lot applied for, in accordance with the Bidder's application;</w:t>
      </w:r>
    </w:p>
    <w:p>
      <w:pPr>
        <w:spacing w:before="0" w:after="40"/>
        <w:ind w:left="510"/>
        <w:jc w:val="both"/>
      </w:pPr>
      <w:r>
        <w:rPr>
          <w:rFonts w:ascii="Times New Roman" w:hAnsi="Times New Roman" w:cs="Times New Roman" w:eastAsia="Times New Roman"/>
          <w:b w:val="0"/>
          <w:i w:val="0"/>
          <w:sz w:val="22"/>
        </w:rPr>
        <w:t>– are not Bidders that were declared winners of auctions previously held by the Company and then evaded signing the minutes of results or refused to conclude the Standard Sales Agreement;</w:t>
      </w:r>
    </w:p>
    <w:p>
      <w:pPr>
        <w:spacing w:before="0" w:after="40"/>
        <w:ind w:left="510"/>
        <w:jc w:val="both"/>
      </w:pPr>
      <w:r>
        <w:rPr>
          <w:rFonts w:ascii="Times New Roman" w:hAnsi="Times New Roman" w:cs="Times New Roman" w:eastAsia="Times New Roman"/>
          <w:b w:val="0"/>
          <w:i w:val="0"/>
          <w:sz w:val="22"/>
        </w:rPr>
        <w:t>– have not acted in bad faith in contractual relations with the Company.</w:t>
      </w:r>
    </w:p>
    <w:p>
      <w:pPr>
        <w:spacing w:before="0" w:after="60"/>
        <w:ind w:firstLine="510"/>
        <w:jc w:val="both"/>
      </w:pPr>
      <w:r>
        <w:rPr>
          <w:rFonts w:ascii="Times New Roman" w:hAnsi="Times New Roman" w:cs="Times New Roman" w:eastAsia="Times New Roman"/>
          <w:b w:val="0"/>
          <w:i w:val="0"/>
          <w:sz w:val="22"/>
        </w:rPr>
        <w:t>4.2. To participate in the announced auction a potential Bidder shall:</w:t>
      </w:r>
    </w:p>
    <w:p>
      <w:pPr>
        <w:spacing w:before="0" w:after="40"/>
        <w:ind w:left="510"/>
        <w:jc w:val="both"/>
      </w:pPr>
      <w:r>
        <w:rPr>
          <w:rFonts w:ascii="Times New Roman" w:hAnsi="Times New Roman" w:cs="Times New Roman" w:eastAsia="Times New Roman"/>
          <w:b w:val="0"/>
          <w:i w:val="0"/>
          <w:sz w:val="22"/>
        </w:rPr>
        <w:t>– send to the Company, to the e-mail address specified in the notice, an application specifying the lot number(s), the method of participation in the auction, the full name of the authorised person, and the corporate (registration) details and bank details required to conclude the Standard Sales Agreement;</w:t>
      </w:r>
    </w:p>
    <w:p>
      <w:pPr>
        <w:spacing w:before="0" w:after="40"/>
        <w:ind w:left="510"/>
        <w:jc w:val="both"/>
      </w:pPr>
      <w:r>
        <w:rPr>
          <w:rFonts w:ascii="Times New Roman" w:hAnsi="Times New Roman" w:cs="Times New Roman" w:eastAsia="Times New Roman"/>
          <w:b w:val="0"/>
          <w:i w:val="0"/>
          <w:sz w:val="22"/>
        </w:rPr>
        <w:t>– pay to the Company's account specified in the notice the guarantee deposit covering the starting price of each lot for which the Bidder intends to bid.</w:t>
      </w:r>
    </w:p>
    <w:p>
      <w:pPr>
        <w:spacing w:before="0" w:after="60"/>
        <w:ind w:firstLine="510"/>
        <w:jc w:val="both"/>
      </w:pPr>
      <w:r>
        <w:rPr>
          <w:rFonts w:ascii="Times New Roman" w:hAnsi="Times New Roman" w:cs="Times New Roman" w:eastAsia="Times New Roman"/>
          <w:b w:val="0"/>
          <w:i w:val="0"/>
          <w:sz w:val="22"/>
        </w:rPr>
        <w:t>4.3. The application for participation in the auction shall be signed by the chief executive or an authorised person of the legal entity and sealed.</w:t>
      </w:r>
    </w:p>
    <w:p>
      <w:pPr>
        <w:spacing w:before="0" w:after="60"/>
        <w:ind w:firstLine="510"/>
        <w:jc w:val="both"/>
      </w:pPr>
      <w:r>
        <w:rPr>
          <w:rFonts w:ascii="Times New Roman" w:hAnsi="Times New Roman" w:cs="Times New Roman" w:eastAsia="Times New Roman"/>
          <w:b w:val="0"/>
          <w:i w:val="0"/>
          <w:sz w:val="22"/>
        </w:rPr>
        <w:t>4.4. The number of Bidders is not limited.</w:t>
      </w:r>
    </w:p>
    <w:p>
      <w:pPr>
        <w:spacing w:before="0" w:after="60"/>
        <w:ind w:firstLine="510"/>
        <w:jc w:val="both"/>
      </w:pPr>
      <w:r>
        <w:rPr>
          <w:rFonts w:ascii="Times New Roman" w:hAnsi="Times New Roman" w:cs="Times New Roman" w:eastAsia="Times New Roman"/>
          <w:b w:val="0"/>
          <w:i w:val="0"/>
          <w:sz w:val="22"/>
        </w:rPr>
        <w:t>4.5. Acceptance of applications in the form established by the Company and of guarantee deposit payments from potential Bidders closes three hours before the start of the auction specified in the notice.</w:t>
      </w:r>
    </w:p>
    <w:p>
      <w:pPr>
        <w:keepNext/>
        <w:spacing w:before="240" w:after="120"/>
        <w:jc w:val="center"/>
      </w:pPr>
      <w:r>
        <w:rPr>
          <w:rFonts w:ascii="Arial" w:hAnsi="Arial" w:cs="Arial" w:eastAsia="Arial"/>
          <w:b/>
          <w:i w:val="0"/>
          <w:color w:val="C9A227"/>
          <w:sz w:val="23"/>
        </w:rPr>
        <w:t>5.</w:t>
      </w:r>
      <w:r>
        <w:rPr>
          <w:rFonts w:ascii="Arial" w:hAnsi="Arial" w:cs="Arial" w:eastAsia="Arial"/>
          <w:b/>
          <w:i w:val="0"/>
          <w:color w:val="0A2547"/>
          <w:sz w:val="23"/>
        </w:rPr>
        <w:t xml:space="preserve"> NOTICE OF AUCTION</w:t>
      </w:r>
    </w:p>
    <w:p>
      <w:pPr>
        <w:spacing w:before="0" w:after="60"/>
        <w:ind w:firstLine="510"/>
        <w:jc w:val="both"/>
      </w:pPr>
      <w:r>
        <w:rPr>
          <w:rFonts w:ascii="Times New Roman" w:hAnsi="Times New Roman" w:cs="Times New Roman" w:eastAsia="Times New Roman"/>
          <w:b w:val="0"/>
          <w:i w:val="0"/>
          <w:sz w:val="22"/>
        </w:rPr>
        <w:t>5.1. The notice of auction is signed by the Chairman of the Commission and sent to potential Bidders by e-mail at least 72 (seventy-two) hours before the start of the auction.</w:t>
      </w:r>
    </w:p>
    <w:p>
      <w:pPr>
        <w:spacing w:before="0" w:after="60"/>
        <w:ind w:firstLine="510"/>
        <w:jc w:val="both"/>
      </w:pPr>
      <w:r>
        <w:rPr>
          <w:rFonts w:ascii="Times New Roman" w:hAnsi="Times New Roman" w:cs="Times New Roman" w:eastAsia="Times New Roman"/>
          <w:b w:val="0"/>
          <w:i w:val="0"/>
          <w:sz w:val="22"/>
        </w:rPr>
        <w:t>5.2. The notice of auction shall contain:</w:t>
      </w:r>
    </w:p>
    <w:p>
      <w:pPr>
        <w:spacing w:before="0" w:after="40"/>
        <w:ind w:left="510"/>
        <w:jc w:val="both"/>
      </w:pPr>
      <w:r>
        <w:rPr>
          <w:rFonts w:ascii="Times New Roman" w:hAnsi="Times New Roman" w:cs="Times New Roman" w:eastAsia="Times New Roman"/>
          <w:b w:val="0"/>
          <w:i w:val="0"/>
          <w:sz w:val="22"/>
        </w:rPr>
        <w:t>– the number and date of the notice;</w:t>
      </w:r>
    </w:p>
    <w:p>
      <w:pPr>
        <w:spacing w:before="0" w:after="40"/>
        <w:ind w:left="510"/>
        <w:jc w:val="both"/>
      </w:pPr>
      <w:r>
        <w:rPr>
          <w:rFonts w:ascii="Times New Roman" w:hAnsi="Times New Roman" w:cs="Times New Roman" w:eastAsia="Times New Roman"/>
          <w:b w:val="0"/>
          <w:i w:val="0"/>
          <w:sz w:val="22"/>
        </w:rPr>
        <w:t>– the date, time and venue of the auction;</w:t>
      </w:r>
    </w:p>
    <w:p>
      <w:pPr>
        <w:spacing w:before="0" w:after="40"/>
        <w:ind w:left="510"/>
        <w:jc w:val="both"/>
      </w:pPr>
      <w:r>
        <w:rPr>
          <w:rFonts w:ascii="Times New Roman" w:hAnsi="Times New Roman" w:cs="Times New Roman" w:eastAsia="Times New Roman"/>
          <w:b w:val="0"/>
          <w:i w:val="0"/>
          <w:sz w:val="22"/>
        </w:rPr>
        <w:t>– the methods of participation in the auction;</w:t>
      </w:r>
    </w:p>
    <w:p>
      <w:pPr>
        <w:spacing w:before="0" w:after="40"/>
        <w:ind w:left="510"/>
        <w:jc w:val="both"/>
      </w:pPr>
      <w:r>
        <w:rPr>
          <w:rFonts w:ascii="Times New Roman" w:hAnsi="Times New Roman" w:cs="Times New Roman" w:eastAsia="Times New Roman"/>
          <w:b w:val="0"/>
          <w:i w:val="0"/>
          <w:sz w:val="22"/>
        </w:rPr>
        <w:t>– the lot number and the name of the petroleum product;</w:t>
      </w:r>
    </w:p>
    <w:p>
      <w:pPr>
        <w:spacing w:before="0" w:after="40"/>
        <w:ind w:left="510"/>
        <w:jc w:val="both"/>
      </w:pPr>
      <w:r>
        <w:rPr>
          <w:rFonts w:ascii="Times New Roman" w:hAnsi="Times New Roman" w:cs="Times New Roman" w:eastAsia="Times New Roman"/>
          <w:b w:val="0"/>
          <w:i w:val="0"/>
          <w:sz w:val="22"/>
        </w:rPr>
        <w:t>– the quality characteristics of the petroleum product;</w:t>
      </w:r>
    </w:p>
    <w:p>
      <w:pPr>
        <w:spacing w:before="0" w:after="40"/>
        <w:ind w:left="510"/>
        <w:jc w:val="both"/>
      </w:pPr>
      <w:r>
        <w:rPr>
          <w:rFonts w:ascii="Times New Roman" w:hAnsi="Times New Roman" w:cs="Times New Roman" w:eastAsia="Times New Roman"/>
          <w:b w:val="0"/>
          <w:i w:val="0"/>
          <w:sz w:val="22"/>
        </w:rPr>
        <w:t>– the quantity of the petroleum product in the lot;</w:t>
      </w:r>
    </w:p>
    <w:p>
      <w:pPr>
        <w:spacing w:before="0" w:after="40"/>
        <w:ind w:left="510"/>
        <w:jc w:val="both"/>
      </w:pPr>
      <w:r>
        <w:rPr>
          <w:rFonts w:ascii="Times New Roman" w:hAnsi="Times New Roman" w:cs="Times New Roman" w:eastAsia="Times New Roman"/>
          <w:b w:val="0"/>
          <w:i w:val="0"/>
          <w:sz w:val="22"/>
        </w:rPr>
        <w:t>– the delivery time of the petroleum product;</w:t>
      </w:r>
    </w:p>
    <w:p>
      <w:pPr>
        <w:spacing w:before="0" w:after="40"/>
        <w:ind w:left="510"/>
        <w:jc w:val="both"/>
      </w:pPr>
      <w:r>
        <w:rPr>
          <w:rFonts w:ascii="Times New Roman" w:hAnsi="Times New Roman" w:cs="Times New Roman" w:eastAsia="Times New Roman"/>
          <w:b w:val="0"/>
          <w:i w:val="0"/>
          <w:sz w:val="22"/>
        </w:rPr>
        <w:t>– the starting price per 1 metric ton of the petroleum product;</w:t>
      </w:r>
    </w:p>
    <w:p>
      <w:pPr>
        <w:spacing w:before="0" w:after="40"/>
        <w:ind w:left="510"/>
        <w:jc w:val="both"/>
      </w:pPr>
      <w:r>
        <w:rPr>
          <w:rFonts w:ascii="Times New Roman" w:hAnsi="Times New Roman" w:cs="Times New Roman" w:eastAsia="Times New Roman"/>
          <w:b w:val="0"/>
          <w:i w:val="0"/>
          <w:sz w:val="22"/>
        </w:rPr>
        <w:t>– the bid increment for the lot;</w:t>
      </w:r>
    </w:p>
    <w:p>
      <w:pPr>
        <w:spacing w:before="0" w:after="40"/>
        <w:ind w:left="510"/>
        <w:jc w:val="both"/>
      </w:pPr>
      <w:r>
        <w:rPr>
          <w:rFonts w:ascii="Times New Roman" w:hAnsi="Times New Roman" w:cs="Times New Roman" w:eastAsia="Times New Roman"/>
          <w:b w:val="0"/>
          <w:i w:val="0"/>
          <w:sz w:val="22"/>
        </w:rPr>
        <w:t>– the amount of the guarantee deposit for the lot.</w:t>
      </w:r>
    </w:p>
    <w:p>
      <w:pPr>
        <w:spacing w:before="0" w:after="60"/>
        <w:ind w:firstLine="510"/>
        <w:jc w:val="both"/>
      </w:pPr>
      <w:r>
        <w:rPr>
          <w:rFonts w:ascii="Times New Roman" w:hAnsi="Times New Roman" w:cs="Times New Roman" w:eastAsia="Times New Roman"/>
          <w:b w:val="0"/>
          <w:i w:val="0"/>
          <w:sz w:val="22"/>
        </w:rPr>
        <w:t>5.3. The number of lots in a notice is not limited.</w:t>
      </w:r>
    </w:p>
    <w:p>
      <w:pPr>
        <w:spacing w:before="0" w:after="60"/>
        <w:ind w:firstLine="510"/>
        <w:jc w:val="both"/>
      </w:pPr>
      <w:r>
        <w:rPr>
          <w:rFonts w:ascii="Times New Roman" w:hAnsi="Times New Roman" w:cs="Times New Roman" w:eastAsia="Times New Roman"/>
          <w:b w:val="0"/>
          <w:i w:val="0"/>
          <w:sz w:val="22"/>
        </w:rPr>
        <w:t>5.4. The notice shall be sent to at least three potential Bidders and/or published on the Company's official website at: caspian-oil.com.</w:t>
      </w:r>
    </w:p>
    <w:p>
      <w:pPr>
        <w:keepNext/>
        <w:spacing w:before="240" w:after="120"/>
        <w:jc w:val="center"/>
      </w:pPr>
      <w:r>
        <w:rPr>
          <w:rFonts w:ascii="Arial" w:hAnsi="Arial" w:cs="Arial" w:eastAsia="Arial"/>
          <w:b/>
          <w:i w:val="0"/>
          <w:color w:val="C9A227"/>
          <w:sz w:val="23"/>
        </w:rPr>
        <w:t>6.</w:t>
      </w:r>
      <w:r>
        <w:rPr>
          <w:rFonts w:ascii="Arial" w:hAnsi="Arial" w:cs="Arial" w:eastAsia="Arial"/>
          <w:b/>
          <w:i w:val="0"/>
          <w:color w:val="0A2547"/>
          <w:sz w:val="23"/>
        </w:rPr>
        <w:t xml:space="preserve"> METHODS OF PARTICIPATION IN THE AUCTION</w:t>
      </w:r>
    </w:p>
    <w:p>
      <w:pPr>
        <w:spacing w:before="0" w:after="60"/>
        <w:ind w:firstLine="510"/>
        <w:jc w:val="both"/>
      </w:pPr>
      <w:r>
        <w:rPr>
          <w:rFonts w:ascii="Times New Roman" w:hAnsi="Times New Roman" w:cs="Times New Roman" w:eastAsia="Times New Roman"/>
          <w:b w:val="0"/>
          <w:i w:val="0"/>
          <w:sz w:val="22"/>
        </w:rPr>
        <w:t>6.1. The following methods of participation in the auction are allowed:</w:t>
      </w:r>
    </w:p>
    <w:p>
      <w:pPr>
        <w:spacing w:before="0" w:after="40"/>
        <w:ind w:left="510"/>
        <w:jc w:val="both"/>
      </w:pPr>
      <w:r>
        <w:rPr>
          <w:rFonts w:ascii="Times New Roman" w:hAnsi="Times New Roman" w:cs="Times New Roman" w:eastAsia="Times New Roman"/>
          <w:b w:val="0"/>
          <w:i w:val="0"/>
          <w:sz w:val="22"/>
        </w:rPr>
        <w:t>– participation in person by an authorised representative at the auction venue;</w:t>
      </w:r>
    </w:p>
    <w:p>
      <w:pPr>
        <w:spacing w:before="0" w:after="40"/>
        <w:ind w:left="510"/>
        <w:jc w:val="both"/>
      </w:pPr>
      <w:r>
        <w:rPr>
          <w:rFonts w:ascii="Times New Roman" w:hAnsi="Times New Roman" w:cs="Times New Roman" w:eastAsia="Times New Roman"/>
          <w:b w:val="0"/>
          <w:i w:val="0"/>
          <w:sz w:val="22"/>
        </w:rPr>
        <w:t>– by telephone;</w:t>
      </w:r>
    </w:p>
    <w:p>
      <w:pPr>
        <w:spacing w:before="0" w:after="40"/>
        <w:ind w:left="510"/>
        <w:jc w:val="both"/>
      </w:pPr>
      <w:r>
        <w:rPr>
          <w:rFonts w:ascii="Times New Roman" w:hAnsi="Times New Roman" w:cs="Times New Roman" w:eastAsia="Times New Roman"/>
          <w:b w:val="0"/>
          <w:i w:val="0"/>
          <w:sz w:val="22"/>
        </w:rPr>
        <w:t>– by e-mail;</w:t>
      </w:r>
    </w:p>
    <w:p>
      <w:pPr>
        <w:spacing w:before="0" w:after="40"/>
        <w:ind w:left="510"/>
        <w:jc w:val="both"/>
      </w:pPr>
      <w:r>
        <w:rPr>
          <w:rFonts w:ascii="Times New Roman" w:hAnsi="Times New Roman" w:cs="Times New Roman" w:eastAsia="Times New Roman"/>
          <w:b w:val="0"/>
          <w:i w:val="0"/>
          <w:sz w:val="22"/>
        </w:rPr>
        <w:t>– by video conference;</w:t>
      </w:r>
    </w:p>
    <w:p>
      <w:pPr>
        <w:spacing w:before="0" w:after="40"/>
        <w:ind w:left="510"/>
        <w:jc w:val="both"/>
      </w:pPr>
      <w:r>
        <w:rPr>
          <w:rFonts w:ascii="Times New Roman" w:hAnsi="Times New Roman" w:cs="Times New Roman" w:eastAsia="Times New Roman"/>
          <w:b w:val="0"/>
          <w:i w:val="0"/>
          <w:sz w:val="22"/>
        </w:rPr>
        <w:t>– via messengers (WhatsApp, Telegram).</w:t>
      </w:r>
    </w:p>
    <w:p>
      <w:pPr>
        <w:spacing w:before="0" w:after="60"/>
        <w:ind w:firstLine="510"/>
        <w:jc w:val="both"/>
      </w:pPr>
      <w:r>
        <w:rPr>
          <w:rFonts w:ascii="Times New Roman" w:hAnsi="Times New Roman" w:cs="Times New Roman" w:eastAsia="Times New Roman"/>
          <w:b w:val="0"/>
          <w:i w:val="0"/>
          <w:sz w:val="22"/>
        </w:rPr>
        <w:t>6.2. The methods of participation for a specific lot are determined by the Commission and specified in the notice of auction.</w:t>
      </w:r>
    </w:p>
    <w:p>
      <w:pPr>
        <w:spacing w:before="0" w:after="60"/>
        <w:ind w:firstLine="510"/>
        <w:jc w:val="both"/>
      </w:pPr>
      <w:r>
        <w:rPr>
          <w:rFonts w:ascii="Times New Roman" w:hAnsi="Times New Roman" w:cs="Times New Roman" w:eastAsia="Times New Roman"/>
          <w:b w:val="0"/>
          <w:i w:val="0"/>
          <w:sz w:val="22"/>
        </w:rPr>
        <w:t>6.3. For each lot, a Bidder may take part in the auction through only one representative, as specified in the application for participation.</w:t>
      </w:r>
    </w:p>
    <w:p>
      <w:pPr>
        <w:spacing w:before="0" w:after="60"/>
        <w:ind w:firstLine="510"/>
        <w:jc w:val="both"/>
      </w:pPr>
      <w:r>
        <w:rPr>
          <w:rFonts w:ascii="Times New Roman" w:hAnsi="Times New Roman" w:cs="Times New Roman" w:eastAsia="Times New Roman"/>
          <w:b w:val="0"/>
          <w:i w:val="0"/>
          <w:sz w:val="22"/>
        </w:rPr>
        <w:t>6.4. For participation in person, the Bidder's representative specified in the application shall present to the Commission an identity document (passport or ID card).</w:t>
      </w:r>
    </w:p>
    <w:p>
      <w:pPr>
        <w:spacing w:before="0" w:after="60"/>
        <w:ind w:firstLine="510"/>
        <w:jc w:val="both"/>
      </w:pPr>
      <w:r>
        <w:rPr>
          <w:rFonts w:ascii="Times New Roman" w:hAnsi="Times New Roman" w:cs="Times New Roman" w:eastAsia="Times New Roman"/>
          <w:b w:val="0"/>
          <w:i w:val="0"/>
          <w:sz w:val="22"/>
        </w:rPr>
        <w:t>6.5. If a Bidder has chosen to participate by telephone, it shall specify in its application the landline or mobile telephone number from which its authorised representative will take part in the auction.</w:t>
      </w:r>
    </w:p>
    <w:p>
      <w:pPr>
        <w:spacing w:before="0" w:after="60"/>
        <w:ind w:firstLine="510"/>
        <w:jc w:val="both"/>
      </w:pPr>
      <w:r>
        <w:rPr>
          <w:rFonts w:ascii="Times New Roman" w:hAnsi="Times New Roman" w:cs="Times New Roman" w:eastAsia="Times New Roman"/>
          <w:b w:val="0"/>
          <w:i w:val="0"/>
          <w:sz w:val="22"/>
        </w:rPr>
        <w:t>6.6. If a Bidder has chosen to participate by e-mail, it shall specify in its application the e-mail address from which its authorised representative will take part in the auction.</w:t>
      </w:r>
    </w:p>
    <w:p>
      <w:pPr>
        <w:spacing w:before="0" w:after="60"/>
        <w:ind w:firstLine="510"/>
        <w:jc w:val="both"/>
      </w:pPr>
      <w:r>
        <w:rPr>
          <w:rFonts w:ascii="Times New Roman" w:hAnsi="Times New Roman" w:cs="Times New Roman" w:eastAsia="Times New Roman"/>
          <w:b w:val="0"/>
          <w:i w:val="0"/>
          <w:sz w:val="22"/>
        </w:rPr>
        <w:t>6.7. If a Bidder has chosen to participate by video conference or via messengers, it shall specify in its application the relevant contact details (mobile telephone number, account) from which its authorised representative will take part in the auction.</w:t>
      </w:r>
    </w:p>
    <w:p>
      <w:pPr>
        <w:keepNext/>
        <w:spacing w:before="240" w:after="120"/>
        <w:jc w:val="center"/>
      </w:pPr>
      <w:r>
        <w:rPr>
          <w:rFonts w:ascii="Arial" w:hAnsi="Arial" w:cs="Arial" w:eastAsia="Arial"/>
          <w:b/>
          <w:i w:val="0"/>
          <w:color w:val="C9A227"/>
          <w:sz w:val="23"/>
        </w:rPr>
        <w:t>7.</w:t>
      </w:r>
      <w:r>
        <w:rPr>
          <w:rFonts w:ascii="Arial" w:hAnsi="Arial" w:cs="Arial" w:eastAsia="Arial"/>
          <w:b/>
          <w:i w:val="0"/>
          <w:color w:val="0A2547"/>
          <w:sz w:val="23"/>
        </w:rPr>
        <w:t xml:space="preserve"> AUCTION PROCEDURE</w:t>
      </w:r>
    </w:p>
    <w:p>
      <w:pPr>
        <w:spacing w:before="0" w:after="60"/>
        <w:ind w:firstLine="510"/>
        <w:jc w:val="both"/>
      </w:pPr>
      <w:r>
        <w:rPr>
          <w:rFonts w:ascii="Times New Roman" w:hAnsi="Times New Roman" w:cs="Times New Roman" w:eastAsia="Times New Roman"/>
          <w:b w:val="0"/>
          <w:i w:val="0"/>
          <w:sz w:val="22"/>
        </w:rPr>
        <w:t>7.1. Legal entities that meet the requirements of clause 4.1 and have fulfilled the conditions of clause 4.2 of these Rules are admitted to the auction for the sale of the Company's products.</w:t>
      </w:r>
    </w:p>
    <w:p>
      <w:pPr>
        <w:spacing w:before="0" w:after="60"/>
        <w:ind w:firstLine="510"/>
        <w:jc w:val="both"/>
      </w:pPr>
      <w:r>
        <w:rPr>
          <w:rFonts w:ascii="Times New Roman" w:hAnsi="Times New Roman" w:cs="Times New Roman" w:eastAsia="Times New Roman"/>
          <w:b w:val="0"/>
          <w:i w:val="0"/>
          <w:sz w:val="22"/>
        </w:rPr>
        <w:t>7.2. The Commission's minutes on admission to the auction shall be signed at least 1 (one) hour before the start of the auction.</w:t>
      </w:r>
    </w:p>
    <w:p>
      <w:pPr>
        <w:spacing w:before="0" w:after="60"/>
        <w:ind w:firstLine="510"/>
        <w:jc w:val="both"/>
      </w:pPr>
      <w:r>
        <w:rPr>
          <w:rFonts w:ascii="Times New Roman" w:hAnsi="Times New Roman" w:cs="Times New Roman" w:eastAsia="Times New Roman"/>
          <w:b w:val="0"/>
          <w:i w:val="0"/>
          <w:sz w:val="22"/>
        </w:rPr>
        <w:t>7.3. The auction starts with Lot No. 1 at the time specified in the notice.</w:t>
      </w:r>
    </w:p>
    <w:p>
      <w:pPr>
        <w:spacing w:before="0" w:after="60"/>
        <w:ind w:firstLine="510"/>
        <w:jc w:val="both"/>
      </w:pPr>
      <w:r>
        <w:rPr>
          <w:rFonts w:ascii="Times New Roman" w:hAnsi="Times New Roman" w:cs="Times New Roman" w:eastAsia="Times New Roman"/>
          <w:b w:val="0"/>
          <w:i w:val="0"/>
          <w:sz w:val="22"/>
        </w:rPr>
        <w:t>7.4. For each bid increment the Commission shall allow the Bidders at least 3 (three) but not more than 6 (six) minutes to make a decision.</w:t>
      </w:r>
    </w:p>
    <w:p>
      <w:pPr>
        <w:spacing w:before="0" w:after="60"/>
        <w:ind w:firstLine="510"/>
        <w:jc w:val="both"/>
      </w:pPr>
      <w:r>
        <w:rPr>
          <w:rFonts w:ascii="Times New Roman" w:hAnsi="Times New Roman" w:cs="Times New Roman" w:eastAsia="Times New Roman"/>
          <w:b w:val="0"/>
          <w:i w:val="0"/>
          <w:sz w:val="22"/>
        </w:rPr>
        <w:t>7.5. No auction is held for a lot to which no Bidder has been admitted.</w:t>
      </w:r>
    </w:p>
    <w:p>
      <w:pPr>
        <w:spacing w:before="0" w:after="60"/>
        <w:ind w:firstLine="510"/>
        <w:jc w:val="both"/>
      </w:pPr>
      <w:r>
        <w:rPr>
          <w:rFonts w:ascii="Times New Roman" w:hAnsi="Times New Roman" w:cs="Times New Roman" w:eastAsia="Times New Roman"/>
          <w:b w:val="0"/>
          <w:i w:val="0"/>
          <w:sz w:val="22"/>
        </w:rPr>
        <w:t>7.6. Where several methods of participation are used in the course of the auction, the Commission shall provide all Bidders with timely and reliable information on the course of the auction.</w:t>
      </w:r>
    </w:p>
    <w:p>
      <w:pPr>
        <w:keepNext/>
        <w:spacing w:before="240" w:after="120"/>
        <w:jc w:val="center"/>
      </w:pPr>
      <w:r>
        <w:rPr>
          <w:rFonts w:ascii="Arial" w:hAnsi="Arial" w:cs="Arial" w:eastAsia="Arial"/>
          <w:b/>
          <w:i w:val="0"/>
          <w:color w:val="C9A227"/>
          <w:sz w:val="23"/>
        </w:rPr>
        <w:t>8.</w:t>
      </w:r>
      <w:r>
        <w:rPr>
          <w:rFonts w:ascii="Arial" w:hAnsi="Arial" w:cs="Arial" w:eastAsia="Arial"/>
          <w:b/>
          <w:i w:val="0"/>
          <w:color w:val="0A2547"/>
          <w:sz w:val="23"/>
        </w:rPr>
        <w:t xml:space="preserve"> RESULTS AND CONSEQUENCES OF THE AUCTION</w:t>
      </w:r>
    </w:p>
    <w:p>
      <w:pPr>
        <w:spacing w:before="0" w:after="60"/>
        <w:ind w:firstLine="510"/>
        <w:jc w:val="both"/>
      </w:pPr>
      <w:r>
        <w:rPr>
          <w:rFonts w:ascii="Times New Roman" w:hAnsi="Times New Roman" w:cs="Times New Roman" w:eastAsia="Times New Roman"/>
          <w:b w:val="0"/>
          <w:i w:val="0"/>
          <w:sz w:val="22"/>
        </w:rPr>
        <w:t>8.1. The auction for a lot is deemed to have taken place if at least one Bidder has bid at least one increment above the starting price for that lot.</w:t>
      </w:r>
    </w:p>
    <w:p>
      <w:pPr>
        <w:spacing w:before="0" w:after="60"/>
        <w:ind w:firstLine="510"/>
        <w:jc w:val="both"/>
      </w:pPr>
      <w:r>
        <w:rPr>
          <w:rFonts w:ascii="Times New Roman" w:hAnsi="Times New Roman" w:cs="Times New Roman" w:eastAsia="Times New Roman"/>
          <w:b w:val="0"/>
          <w:i w:val="0"/>
          <w:sz w:val="22"/>
        </w:rPr>
        <w:t>8.2. The Bidder that offered the highest price for a lot is declared the winner for that lot, which is recorded in minutes signed by the Commission and the winner within 48 (forty-eight) hours of the close of the auction.</w:t>
      </w:r>
    </w:p>
    <w:p>
      <w:pPr>
        <w:spacing w:before="0" w:after="60"/>
        <w:ind w:firstLine="510"/>
        <w:jc w:val="both"/>
      </w:pPr>
      <w:r>
        <w:rPr>
          <w:rFonts w:ascii="Times New Roman" w:hAnsi="Times New Roman" w:cs="Times New Roman" w:eastAsia="Times New Roman"/>
          <w:b w:val="0"/>
          <w:i w:val="0"/>
          <w:sz w:val="22"/>
        </w:rPr>
        <w:t>8.3. The winner shall conclude the Standard Sales Agreement with the Company for the lot won and pay the difference between the starting price and the final price established at the auction within 3 (three) business days from the date of the minutes of the auction results for the lot.</w:t>
      </w:r>
    </w:p>
    <w:p>
      <w:pPr>
        <w:spacing w:before="0" w:after="60"/>
        <w:ind w:firstLine="510"/>
        <w:jc w:val="both"/>
      </w:pPr>
      <w:r>
        <w:rPr>
          <w:rFonts w:ascii="Times New Roman" w:hAnsi="Times New Roman" w:cs="Times New Roman" w:eastAsia="Times New Roman"/>
          <w:b w:val="0"/>
          <w:i w:val="0"/>
          <w:sz w:val="22"/>
        </w:rPr>
        <w:t>8.4. The guarantee deposit paid by the winner is credited by the Company towards payment for the lot won.</w:t>
      </w:r>
    </w:p>
    <w:p>
      <w:pPr>
        <w:spacing w:before="0" w:after="60"/>
        <w:ind w:firstLine="510"/>
        <w:jc w:val="both"/>
      </w:pPr>
      <w:r>
        <w:rPr>
          <w:rFonts w:ascii="Times New Roman" w:hAnsi="Times New Roman" w:cs="Times New Roman" w:eastAsia="Times New Roman"/>
          <w:b w:val="0"/>
          <w:i w:val="0"/>
          <w:sz w:val="22"/>
        </w:rPr>
        <w:t>8.5. The guarantee deposits paid by the other Bidders are refunded within 5 (five) calendar days from the date of the minutes of the auction results, except for the guarantee deposit of the winner.</w:t>
      </w:r>
    </w:p>
    <w:p>
      <w:pPr>
        <w:keepNext/>
        <w:spacing w:before="240" w:after="120"/>
        <w:jc w:val="center"/>
      </w:pPr>
      <w:r>
        <w:rPr>
          <w:rFonts w:ascii="Arial" w:hAnsi="Arial" w:cs="Arial" w:eastAsia="Arial"/>
          <w:b/>
          <w:i w:val="0"/>
          <w:color w:val="C9A227"/>
          <w:sz w:val="23"/>
        </w:rPr>
        <w:t>9.</w:t>
      </w:r>
      <w:r>
        <w:rPr>
          <w:rFonts w:ascii="Arial" w:hAnsi="Arial" w:cs="Arial" w:eastAsia="Arial"/>
          <w:b/>
          <w:i w:val="0"/>
          <w:color w:val="0A2547"/>
          <w:sz w:val="23"/>
        </w:rPr>
        <w:t xml:space="preserve"> OBLIGATIONS OF THE WINNER</w:t>
      </w:r>
    </w:p>
    <w:p>
      <w:pPr>
        <w:spacing w:before="0" w:after="60"/>
        <w:ind w:firstLine="510"/>
        <w:jc w:val="both"/>
      </w:pPr>
      <w:r>
        <w:rPr>
          <w:rFonts w:ascii="Times New Roman" w:hAnsi="Times New Roman" w:cs="Times New Roman" w:eastAsia="Times New Roman"/>
          <w:b w:val="0"/>
          <w:i w:val="0"/>
          <w:sz w:val="22"/>
        </w:rPr>
        <w:t>9.1. If the Bidder that offered the highest price for a lot evades or refuses to sign the minutes of the auction results or to conclude the Standard Sales Agreement with the Company, that Bidder is barred from participation in future auctions. In that case the winner for the lot is the Bidder that offered the price immediately below the price offered by the Bidder that evaded signing the minutes and concluding the Standard Sales Agreement.</w:t>
      </w:r>
    </w:p>
    <w:p>
      <w:pPr>
        <w:keepNext/>
        <w:spacing w:before="240" w:after="120"/>
        <w:jc w:val="center"/>
      </w:pPr>
      <w:r>
        <w:rPr>
          <w:rFonts w:ascii="Arial" w:hAnsi="Arial" w:cs="Arial" w:eastAsia="Arial"/>
          <w:b/>
          <w:i w:val="0"/>
          <w:color w:val="C9A227"/>
          <w:sz w:val="23"/>
        </w:rPr>
        <w:t>10.</w:t>
      </w:r>
      <w:r>
        <w:rPr>
          <w:rFonts w:ascii="Arial" w:hAnsi="Arial" w:cs="Arial" w:eastAsia="Arial"/>
          <w:b/>
          <w:i w:val="0"/>
          <w:color w:val="0A2547"/>
          <w:sz w:val="23"/>
        </w:rPr>
        <w:t xml:space="preserve"> MISCELLANEOUS</w:t>
      </w:r>
    </w:p>
    <w:p>
      <w:pPr>
        <w:spacing w:before="0" w:after="60"/>
        <w:ind w:firstLine="510"/>
        <w:jc w:val="both"/>
      </w:pPr>
      <w:r>
        <w:rPr>
          <w:rFonts w:ascii="Times New Roman" w:hAnsi="Times New Roman" w:cs="Times New Roman" w:eastAsia="Times New Roman"/>
          <w:b w:val="0"/>
          <w:i w:val="0"/>
          <w:sz w:val="22"/>
        </w:rPr>
        <w:t>10.1. These Rules take effect upon their approval by the Company's Management Board.</w:t>
      </w:r>
    </w:p>
    <w:p>
      <w:pPr>
        <w:spacing w:before="0" w:after="60"/>
        <w:ind w:firstLine="510"/>
        <w:jc w:val="both"/>
      </w:pPr>
      <w:r>
        <w:rPr>
          <w:rFonts w:ascii="Times New Roman" w:hAnsi="Times New Roman" w:cs="Times New Roman" w:eastAsia="Times New Roman"/>
          <w:b w:val="0"/>
          <w:i w:val="0"/>
          <w:sz w:val="22"/>
        </w:rPr>
        <w:t>10.2. Amendments and additions to these Rules are proposed by the Commission and approved by the Company's Management Board within the term of validity of these Rules.</w:t>
      </w:r>
    </w:p>
    <w:p>
      <w:pPr>
        <w:spacing w:before="0" w:after="60"/>
        <w:ind w:firstLine="510"/>
        <w:jc w:val="both"/>
      </w:pPr>
      <w:r>
        <w:rPr>
          <w:rFonts w:ascii="Times New Roman" w:hAnsi="Times New Roman" w:cs="Times New Roman" w:eastAsia="Times New Roman"/>
          <w:b w:val="0"/>
          <w:i w:val="0"/>
          <w:sz w:val="22"/>
        </w:rPr>
        <w:t>10.3. The Company's Commercial Director supervises compliance with these Rules.</w:t>
      </w:r>
    </w:p>
    <w:sectPr w:rsidR="00FC693F" w:rsidRPr="0006063C" w:rsidSect="00034616">
      <w:headerReference w:type="default" r:id="rId9"/>
      <w:headerReference w:type="first" r:id="rId10"/>
      <w:footerReference w:type="default" r:id="rId11"/>
      <w:footerReference w:type="first" r:id="rId12"/>
      <w:pgSz w:w="11906" w:h="16838"/>
      <w:pgMar w:top="794" w:right="1020" w:bottom="964" w:left="1304" w:header="397" w:footer="397" w:gutter="0"/>
      <w:cols w:space="720"/>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tabs>
        <w:tab w:pos="9581" w:val="right"/>
      </w:tabs>
      <w:spacing w:before="40"/>
      <w:pBdr>
        <w:top w:val="single" w:sz="4" w:space="2" w:color="C9A227"/>
      </w:pBdr>
    </w:pPr>
    <w:r>
      <w:rPr>
        <w:rFonts w:ascii="Arial" w:hAnsi="Arial" w:cs="Arial" w:eastAsia="Arial"/>
        <w:b w:val="0"/>
        <w:i w:val="0"/>
        <w:color w:val="5A6572"/>
        <w:sz w:val="16"/>
      </w:rPr>
      <w:t>Caspian Oil Industrial Company LLP  ·  caspian-oil.com</w:t>
    </w:r>
    <w:r>
      <w:rPr>
        <w:rFonts w:ascii="Arial" w:hAnsi="Arial" w:cs="Arial" w:eastAsia="Arial"/>
        <w:b w:val="0"/>
        <w:i w:val="0"/>
        <w:color w:val="5A6572"/>
        <w:sz w:val="16"/>
      </w:rPr>
      <w:tab/>
    </w:r>
    <w:r>
      <w:rPr>
        <w:rFonts w:ascii="Arial" w:hAnsi="Arial" w:cs="Arial" w:eastAsia="Arial"/>
        <w:b w:val="0"/>
        <w:i w:val="0"/>
        <w:color w:val="5A6572"/>
        <w:sz w:val="16"/>
      </w:rPr>
      <w:t xml:space="preserve">page </w:t>
    </w:r>
    <w:r>
      <w:rPr>
        <w:rFonts w:ascii="Arial" w:hAnsi="Arial" w:cs="Arial" w:eastAsia="Arial"/>
        <w:b w:val="0"/>
        <w:i w:val="0"/>
        <w:color w:val="5A6572"/>
        <w:sz w:val="16"/>
      </w:rPr>
      <w:fldChar w:fldCharType="begin"/>
      <w:instrText xml:space="preserve"> PAGE </w:instrText>
      <w:fldChar w:fldCharType="end"/>
    </w:r>
    <w:r>
      <w:rPr>
        <w:rFonts w:ascii="Arial" w:hAnsi="Arial" w:cs="Arial" w:eastAsia="Arial"/>
        <w:b w:val="0"/>
        <w:i w:val="0"/>
        <w:color w:val="5A6572"/>
        <w:sz w:val="16"/>
      </w:rPr>
      <w:t xml:space="preserve"> of </w:t>
    </w:r>
    <w:r>
      <w:rPr>
        <w:rFonts w:ascii="Arial" w:hAnsi="Arial" w:cs="Arial" w:eastAsia="Arial"/>
        <w:b w:val="0"/>
        <w:i w:val="0"/>
        <w:color w:val="5A6572"/>
        <w:sz w:val="16"/>
      </w:rPr>
      <w:fldChar w:fldCharType="begin"/>
      <w:instrText xml:space="preserve"> NUMPAGES </w:instrText>
      <w:fldChar w:fldCharType="end"/>
    </w:r>
  </w:p>
</w:ftr>
</file>

<file path=word/footer2.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tabs>
        <w:tab w:pos="9581" w:val="right"/>
      </w:tabs>
      <w:spacing w:before="40"/>
      <w:pBdr>
        <w:top w:val="single" w:sz="4" w:space="2" w:color="C9A227"/>
      </w:pBdr>
    </w:pPr>
    <w:r>
      <w:rPr>
        <w:rFonts w:ascii="Arial" w:hAnsi="Arial" w:cs="Arial" w:eastAsia="Arial"/>
        <w:b w:val="0"/>
        <w:i w:val="0"/>
        <w:color w:val="5A6572"/>
        <w:sz w:val="16"/>
      </w:rPr>
      <w:t>Caspian Oil Industrial Company LLP  ·  caspian-oil.com</w:t>
    </w:r>
    <w:r>
      <w:rPr>
        <w:rFonts w:ascii="Arial" w:hAnsi="Arial" w:cs="Arial" w:eastAsia="Arial"/>
        <w:b w:val="0"/>
        <w:i w:val="0"/>
        <w:color w:val="5A6572"/>
        <w:sz w:val="16"/>
      </w:rPr>
      <w:tab/>
    </w:r>
    <w:r>
      <w:rPr>
        <w:rFonts w:ascii="Arial" w:hAnsi="Arial" w:cs="Arial" w:eastAsia="Arial"/>
        <w:b w:val="0"/>
        <w:i w:val="0"/>
        <w:color w:val="5A6572"/>
        <w:sz w:val="16"/>
      </w:rPr>
      <w:t xml:space="preserve">page </w:t>
    </w:r>
    <w:r>
      <w:rPr>
        <w:rFonts w:ascii="Arial" w:hAnsi="Arial" w:cs="Arial" w:eastAsia="Arial"/>
        <w:b w:val="0"/>
        <w:i w:val="0"/>
        <w:color w:val="5A6572"/>
        <w:sz w:val="16"/>
      </w:rPr>
      <w:fldChar w:fldCharType="begin"/>
      <w:instrText xml:space="preserve"> PAGE </w:instrText>
      <w:fldChar w:fldCharType="end"/>
    </w:r>
    <w:r>
      <w:rPr>
        <w:rFonts w:ascii="Arial" w:hAnsi="Arial" w:cs="Arial" w:eastAsia="Arial"/>
        <w:b w:val="0"/>
        <w:i w:val="0"/>
        <w:color w:val="5A6572"/>
        <w:sz w:val="16"/>
      </w:rPr>
      <w:t xml:space="preserve"> of </w:t>
    </w:r>
    <w:r>
      <w:rPr>
        <w:rFonts w:ascii="Arial" w:hAnsi="Arial" w:cs="Arial" w:eastAsia="Arial"/>
        <w:b w:val="0"/>
        <w:i w:val="0"/>
        <w:color w:val="5A6572"/>
        <w:sz w:val="16"/>
      </w:rPr>
      <w:fldChar w:fldCharType="begin"/>
      <w:instrText xml:space="preserve"> NUMPAGES </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spacing w:after="40"/>
      <w:jc w:val="center"/>
      <w:pBdr>
        <w:bottom w:val="single" w:sz="4" w:space="2" w:color="C9A227"/>
      </w:pBdr>
    </w:pPr>
    <w:r>
      <w:rPr>
        <w:rFonts w:ascii="Arial" w:hAnsi="Arial" w:cs="Arial" w:eastAsia="Arial"/>
        <w:b w:val="0"/>
        <w:i w:val="0"/>
        <w:color w:val="5A6572"/>
        <w:sz w:val="16"/>
        <w:spacing w:val="30"/>
      </w:rPr>
      <w:t>CASPIAN OIL INDUSTRIAL COMPANY</w:t>
    </w:r>
  </w:p>
</w:hdr>
</file>

<file path=word/header2.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pPr>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pPr>
      <w:spacing w:after="0" w:line="269" w:lineRule="auto"/>
    </w:pPr>
    <w:rPr>
      <w:rFonts w:ascii="Times New Roman" w:hAnsi="Times New Roman" w:cs="Times New Roman" w:eastAsia="Times New Roman"/>
      <w:rFonts w:ascii="Times New Roman" w:hAnsi="Times New Roman"/>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header" Target="header2.xml"/><Relationship Id="rId11" Type="http://schemas.openxmlformats.org/officeDocument/2006/relationships/footer" Target="footer1.xml"/><Relationship Id="rId12" Type="http://schemas.openxmlformats.org/officeDocument/2006/relationships/footer" Target="footer2.xml"/><Relationship Id="rId13"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Temporary Rules for the Sale of Products</dc:title>
  <dc:subject/>
  <dc:creator>ТОО «Каспийская нефтепромышленная компания»</dc:creator>
  <cp:keywords/>
  <dc:description>generated by python-docx</dc:description>
  <cp:lastModifiedBy/>
  <cp:revision>1</cp:revision>
  <dcterms:created xsi:type="dcterms:W3CDTF">2013-12-23T23:15:00Z</dcterms:created>
  <dcterms:modified xsi:type="dcterms:W3CDTF">2013-12-23T23:15:00Z</dcterms:modified>
  <cp:category/>
</cp:coreProperties>
</file>