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Borders>
          <w:top w:val="none"/>
          <w:left w:val="none"/>
          <w:bottom w:val="none"/>
          <w:right w:val="none"/>
          <w:insideH w:val="none"/>
          <w:insideV w:val="none"/>
        </w:tblBorders>
        <w:tblLayout w:type="fixed"/>
        <w:tblCellMar>
          <w:top w:w="0" w:type="dxa"/>
          <w:left w:w="0" w:type="dxa"/>
          <w:bottom w:w="0" w:type="dxa"/>
          <w:right w:w="0" w:type="dxa"/>
        </w:tblCellMar>
        <w:tblLayout w:type="fixed"/>
      </w:tblPr>
      <w:tblGrid>
        <w:gridCol w:w="2608"/>
        <w:gridCol w:w="6973"/>
      </w:tblGrid>
      <w:tr>
        <w:tc>
          <w:tcPr>
            <w:tcW w:type="dxa" w:w="2608"/>
            <w:vAlign w:val="center"/>
          </w:tcPr>
          <w:p>
            <w:pPr>
              <w:spacing w:after="0"/>
              <w:jc w:val="left"/>
            </w:pPr>
            <w:r>
              <w:drawing>
                <wp:inline xmlns:a="http://schemas.openxmlformats.org/drawingml/2006/main" xmlns:pic="http://schemas.openxmlformats.org/drawingml/2006/picture">
                  <wp:extent cx="922413" cy="936000"/>
                  <wp:docPr id="1" name="Picture 1"/>
                  <wp:cNvGraphicFramePr>
                    <a:graphicFrameLocks noChangeAspect="1"/>
                  </wp:cNvGraphicFramePr>
                  <a:graphic>
                    <a:graphicData uri="http://schemas.openxmlformats.org/drawingml/2006/picture">
                      <pic:pic>
                        <pic:nvPicPr>
                          <pic:cNvPr id="0" name="logo_letterhead_en.jpg"/>
                          <pic:cNvPicPr/>
                        </pic:nvPicPr>
                        <pic:blipFill>
                          <a:blip r:embed="rId13"/>
                          <a:stretch>
                            <a:fillRect/>
                          </a:stretch>
                        </pic:blipFill>
                        <pic:spPr>
                          <a:xfrm>
                            <a:off x="0" y="0"/>
                            <a:ext cx="922413" cy="936000"/>
                          </a:xfrm>
                          <a:prstGeom prst="rect"/>
                        </pic:spPr>
                      </pic:pic>
                    </a:graphicData>
                  </a:graphic>
                </wp:inline>
              </w:drawing>
            </w:r>
          </w:p>
        </w:tc>
        <w:tc>
          <w:tcPr>
            <w:tcW w:type="dxa" w:w="6973"/>
            <w:vAlign w:val="center"/>
          </w:tcPr>
          <w:p>
            <w:pPr>
              <w:spacing w:after="40"/>
              <w:jc w:val="right"/>
            </w:pPr>
            <w:r>
              <w:rPr>
                <w:rFonts w:ascii="Arial" w:hAnsi="Arial" w:cs="Arial" w:eastAsia="Arial"/>
                <w:b/>
                <w:i w:val="0"/>
                <w:color w:val="0A2547"/>
                <w:sz w:val="19"/>
              </w:rPr>
              <w:t>CASPIAN OIL INDUSTRIAL COMPANY LLP</w:t>
            </w:r>
          </w:p>
          <w:p>
            <w:pPr>
              <w:spacing w:after="20"/>
              <w:jc w:val="right"/>
            </w:pPr>
            <w:r>
              <w:rPr>
                <w:rFonts w:ascii="Arial" w:hAnsi="Arial" w:cs="Arial" w:eastAsia="Arial"/>
                <w:b w:val="0"/>
                <w:i w:val="0"/>
                <w:color w:val="5A6572"/>
                <w:sz w:val="16"/>
              </w:rPr>
              <w:t>Republic of Kazakhstan, Mangistau Region, Aktau, 130000, Industrial Zone 5, 65</w:t>
            </w:r>
          </w:p>
          <w:p>
            <w:pPr>
              <w:spacing w:after="20"/>
              <w:jc w:val="right"/>
            </w:pPr>
            <w:r>
              <w:rPr>
                <w:rFonts w:ascii="Arial" w:hAnsi="Arial" w:cs="Arial" w:eastAsia="Arial"/>
                <w:b w:val="0"/>
                <w:i w:val="0"/>
                <w:color w:val="5A6572"/>
                <w:sz w:val="16"/>
              </w:rPr>
              <w:t>Tel.: 8 800 005 00 43 (Kazakhstan)  ·  E-mail: office@caspian-oil.com</w:t>
            </w:r>
          </w:p>
          <w:p>
            <w:pPr>
              <w:spacing w:after="20"/>
              <w:jc w:val="right"/>
            </w:pPr>
            <w:r>
              <w:rPr>
                <w:rFonts w:ascii="Arial" w:hAnsi="Arial" w:cs="Arial" w:eastAsia="Arial"/>
                <w:b w:val="0"/>
                <w:i w:val="0"/>
                <w:color w:val="5A6572"/>
                <w:sz w:val="16"/>
              </w:rPr>
              <w:t>caspian-oil.com  ·  A member of United Energy Group Limited</w:t>
            </w:r>
          </w:p>
        </w:tc>
      </w:tr>
    </w:tbl>
    <w:p>
      <w:pPr>
        <w:spacing w:before="120" w:after="0"/>
        <w:pBdr>
          <w:bottom w:val="single" w:sz="16" w:space="0" w:color="0A2547"/>
        </w:pBdr>
      </w:pPr>
      <w:r>
        <w:rPr>
          <w:rFonts w:ascii="Times New Roman" w:hAnsi="Times New Roman" w:cs="Times New Roman" w:eastAsia="Times New Roman"/>
          <w:b w:val="0"/>
          <w:i w:val="0"/>
          <w:sz w:val="4"/>
        </w:rPr>
      </w:r>
    </w:p>
    <w:p>
      <w:pPr>
        <w:spacing w:before="20" w:after="200"/>
        <w:pBdr>
          <w:bottom w:val="single" w:sz="6" w:space="0" w:color="C9A227"/>
        </w:pBdr>
      </w:pPr>
      <w:r>
        <w:rPr>
          <w:rFonts w:ascii="Times New Roman" w:hAnsi="Times New Roman" w:cs="Times New Roman" w:eastAsia="Times New Roman"/>
          <w:b w:val="0"/>
          <w:i w:val="0"/>
          <w:sz w:val="4"/>
        </w:rPr>
      </w:r>
    </w:p>
    <w:p>
      <w:pPr>
        <w:spacing w:after="160"/>
        <w:jc w:val="right"/>
      </w:pPr>
      <w:r>
        <w:rPr>
          <w:rFonts w:ascii="Arial" w:hAnsi="Arial" w:cs="Arial" w:eastAsia="Arial"/>
          <w:b/>
          <w:i w:val="0"/>
          <w:color w:val="C9A227"/>
          <w:sz w:val="18"/>
          <w:spacing w:val="40"/>
        </w:rPr>
        <w:t>STANDARD FORM</w:t>
      </w:r>
    </w:p>
    <w:p>
      <w:pPr>
        <w:spacing w:before="40" w:after="40"/>
        <w:jc w:val="center"/>
      </w:pPr>
      <w:r>
        <w:rPr>
          <w:rFonts w:ascii="Arial" w:hAnsi="Arial" w:cs="Arial" w:eastAsia="Arial"/>
          <w:b/>
          <w:i w:val="0"/>
          <w:color w:val="0A2547"/>
          <w:sz w:val="32"/>
          <w:spacing w:val="36"/>
        </w:rPr>
        <w:t>SALE AND PURCHASE AGREEMENT</w:t>
      </w:r>
    </w:p>
    <w:p>
      <w:pPr>
        <w:spacing w:after="160"/>
        <w:jc w:val="center"/>
      </w:pPr>
      <w:r>
        <w:rPr>
          <w:rFonts w:ascii="Arial" w:hAnsi="Arial" w:cs="Arial" w:eastAsia="Arial"/>
          <w:b/>
          <w:i w:val="0"/>
          <w:color w:val="0A2547"/>
          <w:sz w:val="25"/>
          <w:spacing w:val="16"/>
        </w:rPr>
        <w:t>for petroleum products No. _________</w:t>
      </w:r>
    </w:p>
    <w:tbl>
      <w:tblPr>
        <w:tblW w:type="auto" w:w="0"/>
        <w:tblLayout w:type="fixed"/>
        <w:tblLook w:firstColumn="1" w:firstRow="1" w:lastColumn="0" w:lastRow="0" w:noHBand="0" w:noVBand="1" w:val="04A0"/>
        <w:tblBorders>
          <w:top w:val="none"/>
          <w:left w:val="none"/>
          <w:bottom w:val="none"/>
          <w:right w:val="none"/>
          <w:insideH w:val="none"/>
          <w:insideV w:val="none"/>
        </w:tblBorders>
        <w:tblLayout w:type="fixed"/>
      </w:tblPr>
      <w:tblGrid>
        <w:gridCol w:w="4791"/>
        <w:gridCol w:w="4791"/>
      </w:tblGrid>
      <w:tr>
        <w:tc>
          <w:tcPr>
            <w:tcW w:type="dxa" w:w="4791"/>
          </w:tcPr>
          <w:p>
            <w:r>
              <w:rPr>
                <w:rFonts w:ascii="Times New Roman" w:hAnsi="Times New Roman" w:cs="Times New Roman" w:eastAsia="Times New Roman"/>
                <w:b/>
                <w:i w:val="0"/>
                <w:sz w:val="23"/>
              </w:rPr>
              <w:t>Aktau</w:t>
            </w:r>
          </w:p>
        </w:tc>
        <w:tc>
          <w:tcPr>
            <w:tcW w:type="dxa" w:w="4791"/>
          </w:tcPr>
          <w:p>
            <w:pPr>
              <w:jc w:val="right"/>
            </w:pPr>
            <w:r>
              <w:rPr>
                <w:rFonts w:ascii="Times New Roman" w:hAnsi="Times New Roman" w:cs="Times New Roman" w:eastAsia="Times New Roman"/>
                <w:b w:val="0"/>
                <w:i w:val="0"/>
                <w:sz w:val="23"/>
              </w:rPr>
              <w:t>___ ________________ 20__</w:t>
            </w:r>
          </w:p>
        </w:tc>
      </w:tr>
    </w:tbl>
    <w:p>
      <w:pPr>
        <w:spacing w:before="160" w:after="80"/>
        <w:ind w:firstLine="510"/>
        <w:jc w:val="both"/>
      </w:pPr>
      <w:r>
        <w:rPr>
          <w:rFonts w:ascii="Times New Roman" w:hAnsi="Times New Roman" w:cs="Times New Roman" w:eastAsia="Times New Roman"/>
          <w:b w:val="0"/>
          <w:i w:val="0"/>
          <w:sz w:val="22"/>
        </w:rPr>
        <w:t>________________________________________________________________________, established and registered under the laws of ____________________________________, represented by ________________________________, acting on the basis of ______________________, hereinafter referred to as the “Seller”, of the one part, and</w:t>
      </w:r>
    </w:p>
    <w:p>
      <w:pPr>
        <w:spacing w:before="0" w:after="80"/>
        <w:ind w:firstLine="510"/>
        <w:jc w:val="both"/>
      </w:pPr>
      <w:r>
        <w:rPr>
          <w:rFonts w:ascii="Times New Roman" w:hAnsi="Times New Roman" w:cs="Times New Roman" w:eastAsia="Times New Roman"/>
          <w:b w:val="0"/>
          <w:i w:val="0"/>
          <w:sz w:val="22"/>
        </w:rPr>
        <w:t>________________________________________________________________________, established and registered under the laws of ____________________________________, represented by ________________________________, acting on the basis of ______________________, hereinafter referred to as the “Buyer”, of the other part,</w:t>
      </w:r>
    </w:p>
    <w:p>
      <w:pPr>
        <w:spacing w:before="0" w:after="120"/>
        <w:ind w:firstLine="510"/>
        <w:jc w:val="both"/>
      </w:pPr>
      <w:r>
        <w:rPr>
          <w:rFonts w:ascii="Times New Roman" w:hAnsi="Times New Roman" w:cs="Times New Roman" w:eastAsia="Times New Roman"/>
          <w:b w:val="0"/>
          <w:i w:val="0"/>
          <w:sz w:val="22"/>
        </w:rPr>
        <w:t>jointly referred to as the “Parties”, have concluded this Agreement (the “Agreement”) as follows:</w:t>
      </w:r>
    </w:p>
    <w:p>
      <w:pPr>
        <w:spacing w:before="120" w:after="160"/>
        <w:ind w:left="142"/>
        <w:jc w:val="both"/>
        <w:shd w:val="clear" w:fill="FBF7EC"/>
        <w:pBdr>
          <w:left w:val="single" w:sz="18" w:space="4" w:color="C9A227"/>
        </w:pBdr>
      </w:pPr>
      <w:r>
        <w:rPr>
          <w:rFonts w:ascii="Arial" w:hAnsi="Arial" w:cs="Arial" w:eastAsia="Arial"/>
          <w:b/>
          <w:i w:val="0"/>
          <w:color w:val="0A2547"/>
          <w:sz w:val="19"/>
        </w:rPr>
        <w:t xml:space="preserve">Note. </w:t>
      </w:r>
      <w:r>
        <w:rPr>
          <w:rFonts w:ascii="Times New Roman" w:hAnsi="Times New Roman" w:cs="Times New Roman" w:eastAsia="Times New Roman"/>
          <w:b w:val="0"/>
          <w:i/>
          <w:color w:val="5A6572"/>
          <w:sz w:val="20"/>
        </w:rPr>
        <w:t>This document is a standard form. Depending on the country of delivery and the structure of the transaction, the Seller may be Caspian Oil Industrial Company LLP (Republic of Kazakhstan) or another company within the United Energy Group Limited group of companies (Hong Kong, PRC). The exact names, jurisdictions and details of the Parties are specified upon execution of the Agreement.</w:t>
      </w:r>
    </w:p>
    <w:p>
      <w:pPr>
        <w:keepNext/>
        <w:spacing w:before="240" w:after="120"/>
        <w:jc w:val="center"/>
      </w:pPr>
      <w:r>
        <w:rPr>
          <w:rFonts w:ascii="Arial" w:hAnsi="Arial" w:cs="Arial" w:eastAsia="Arial"/>
          <w:b/>
          <w:i w:val="0"/>
          <w:color w:val="C9A227"/>
          <w:sz w:val="23"/>
        </w:rPr>
        <w:t>Article 1.</w:t>
      </w:r>
      <w:r>
        <w:rPr>
          <w:rFonts w:ascii="Arial" w:hAnsi="Arial" w:cs="Arial" w:eastAsia="Arial"/>
          <w:b/>
          <w:i w:val="0"/>
          <w:color w:val="0A2547"/>
          <w:sz w:val="23"/>
        </w:rPr>
        <w:t xml:space="preserve"> SUBJECT MATTER OF THE AGREEMENT</w:t>
      </w:r>
    </w:p>
    <w:p>
      <w:pPr>
        <w:spacing w:before="0" w:after="60"/>
        <w:ind w:firstLine="510"/>
        <w:jc w:val="both"/>
      </w:pPr>
      <w:r>
        <w:rPr>
          <w:rFonts w:ascii="Times New Roman" w:hAnsi="Times New Roman" w:cs="Times New Roman" w:eastAsia="Times New Roman"/>
          <w:b w:val="0"/>
          <w:i w:val="0"/>
          <w:sz w:val="22"/>
        </w:rPr>
        <w:t>1.1. The Seller sells and the Buyer purchases petroleum products produced by Caspian Oil Industrial Company LLP (oil refinery, Aktau) in the quantity, at the price and on the delivery basis specified in this Agreement and in the Annexes hereto, which form an integral part of this Agreement.</w:t>
      </w:r>
    </w:p>
    <w:p>
      <w:pPr>
        <w:spacing w:before="0" w:after="60"/>
        <w:ind w:firstLine="510"/>
        <w:jc w:val="both"/>
      </w:pPr>
      <w:r>
        <w:rPr>
          <w:rFonts w:ascii="Times New Roman" w:hAnsi="Times New Roman" w:cs="Times New Roman" w:eastAsia="Times New Roman"/>
          <w:b w:val="0"/>
          <w:i w:val="0"/>
          <w:sz w:val="22"/>
        </w:rPr>
        <w:t>1.2. By signing this Agreement the Buyer confirms that it has the legal right to carry out transactions with petroleum products and is duly registered with the tax authorities at the place of its registration.</w:t>
      </w:r>
    </w:p>
    <w:p>
      <w:pPr>
        <w:spacing w:before="0" w:after="60"/>
        <w:ind w:firstLine="510"/>
        <w:jc w:val="both"/>
      </w:pPr>
      <w:r>
        <w:rPr>
          <w:rFonts w:ascii="Times New Roman" w:hAnsi="Times New Roman" w:cs="Times New Roman" w:eastAsia="Times New Roman"/>
          <w:b w:val="0"/>
          <w:i w:val="0"/>
          <w:sz w:val="22"/>
        </w:rPr>
        <w:t>1.3. By signing this Agreement the Seller confirms that it has the legal right to produce, store and sell petroleum products, as confirmed by the relevant licences, and is duly registered with the tax authorities at the place of its registration.</w:t>
      </w:r>
    </w:p>
    <w:p>
      <w:pPr>
        <w:keepNext/>
        <w:spacing w:before="240" w:after="120"/>
        <w:jc w:val="center"/>
      </w:pPr>
      <w:r>
        <w:rPr>
          <w:rFonts w:ascii="Arial" w:hAnsi="Arial" w:cs="Arial" w:eastAsia="Arial"/>
          <w:b/>
          <w:i w:val="0"/>
          <w:color w:val="C9A227"/>
          <w:sz w:val="23"/>
        </w:rPr>
        <w:t>Article 2.</w:t>
      </w:r>
      <w:r>
        <w:rPr>
          <w:rFonts w:ascii="Arial" w:hAnsi="Arial" w:cs="Arial" w:eastAsia="Arial"/>
          <w:b/>
          <w:i w:val="0"/>
          <w:color w:val="0A2547"/>
          <w:sz w:val="23"/>
        </w:rPr>
        <w:t xml:space="preserve"> QUANTITY AND QUALITY</w:t>
      </w:r>
    </w:p>
    <w:p>
      <w:pPr>
        <w:spacing w:before="0" w:after="60"/>
        <w:ind w:firstLine="510"/>
        <w:jc w:val="both"/>
      </w:pPr>
      <w:r>
        <w:rPr>
          <w:rFonts w:ascii="Times New Roman" w:hAnsi="Times New Roman" w:cs="Times New Roman" w:eastAsia="Times New Roman"/>
          <w:b w:val="0"/>
          <w:i w:val="0"/>
          <w:sz w:val="22"/>
        </w:rPr>
        <w:t>2.1. The unit of measurement of petroleum products is a metric ton (net). The quantity of petroleum products delivered is determined by the volume-weight method using calibrated railway tank cars or tank trucks, or the meter at the Seller's loading rack.</w:t>
      </w:r>
    </w:p>
    <w:p>
      <w:pPr>
        <w:spacing w:before="0" w:after="60"/>
        <w:ind w:firstLine="510"/>
        <w:jc w:val="both"/>
      </w:pPr>
      <w:r>
        <w:rPr>
          <w:rFonts w:ascii="Times New Roman" w:hAnsi="Times New Roman" w:cs="Times New Roman" w:eastAsia="Times New Roman"/>
          <w:b w:val="0"/>
          <w:i w:val="0"/>
          <w:sz w:val="22"/>
        </w:rPr>
        <w:t>2.2. The petroleum product is deemed delivered by the Seller and accepted by the Buyer in the quantity specified:</w:t>
      </w:r>
    </w:p>
    <w:p>
      <w:pPr>
        <w:spacing w:before="0" w:after="60"/>
        <w:ind w:firstLine="510"/>
        <w:jc w:val="both"/>
      </w:pPr>
      <w:r>
        <w:rPr>
          <w:rFonts w:ascii="Times New Roman" w:hAnsi="Times New Roman" w:cs="Times New Roman" w:eastAsia="Times New Roman"/>
          <w:b w:val="0"/>
          <w:i w:val="0"/>
          <w:sz w:val="22"/>
        </w:rPr>
        <w:t>2.2.1. in the delivery and acceptance certificate signed by representatives of the Seller and the Buyer — for transfer in the tanks of the oil refinery of Caspian Oil Industrial Company LLP;</w:t>
      </w:r>
    </w:p>
    <w:p>
      <w:pPr>
        <w:spacing w:before="0" w:after="60"/>
        <w:ind w:firstLine="510"/>
        <w:jc w:val="both"/>
      </w:pPr>
      <w:r>
        <w:rPr>
          <w:rFonts w:ascii="Times New Roman" w:hAnsi="Times New Roman" w:cs="Times New Roman" w:eastAsia="Times New Roman"/>
          <w:b w:val="0"/>
          <w:i w:val="0"/>
          <w:sz w:val="22"/>
        </w:rPr>
        <w:t>2.2.2. in the consignment note signed by representatives of the Seller and the Buyer — for delivery by tank truck;</w:t>
      </w:r>
    </w:p>
    <w:p>
      <w:pPr>
        <w:spacing w:before="0" w:after="60"/>
        <w:ind w:firstLine="510"/>
        <w:jc w:val="both"/>
      </w:pPr>
      <w:r>
        <w:rPr>
          <w:rFonts w:ascii="Times New Roman" w:hAnsi="Times New Roman" w:cs="Times New Roman" w:eastAsia="Times New Roman"/>
          <w:b w:val="0"/>
          <w:i w:val="0"/>
          <w:sz w:val="22"/>
        </w:rPr>
        <w:t>2.2.3. in the railway waybill signed by representatives of the Seller and the carrier — for delivery in railway tank cars;</w:t>
      </w:r>
    </w:p>
    <w:p>
      <w:pPr>
        <w:spacing w:before="0" w:after="60"/>
        <w:ind w:firstLine="510"/>
        <w:jc w:val="both"/>
      </w:pPr>
      <w:r>
        <w:rPr>
          <w:rFonts w:ascii="Times New Roman" w:hAnsi="Times New Roman" w:cs="Times New Roman" w:eastAsia="Times New Roman"/>
          <w:b w:val="0"/>
          <w:i w:val="0"/>
          <w:sz w:val="22"/>
        </w:rPr>
        <w:t>2.2.4. in the report of an independent inspector — for export deliveries.</w:t>
      </w:r>
    </w:p>
    <w:p>
      <w:pPr>
        <w:spacing w:before="0" w:after="60"/>
        <w:ind w:firstLine="510"/>
        <w:jc w:val="both"/>
      </w:pPr>
      <w:r>
        <w:rPr>
          <w:rFonts w:ascii="Times New Roman" w:hAnsi="Times New Roman" w:cs="Times New Roman" w:eastAsia="Times New Roman"/>
          <w:b w:val="0"/>
          <w:i w:val="0"/>
          <w:sz w:val="22"/>
        </w:rPr>
        <w:t>2.3. The quality of the petroleum products delivered is controlled by the Seller's laboratory or by an independent accredited (certified) testing laboratory.</w:t>
      </w:r>
    </w:p>
    <w:p>
      <w:pPr>
        <w:spacing w:before="0" w:after="60"/>
        <w:ind w:firstLine="510"/>
        <w:jc w:val="both"/>
      </w:pPr>
      <w:r>
        <w:rPr>
          <w:rFonts w:ascii="Times New Roman" w:hAnsi="Times New Roman" w:cs="Times New Roman" w:eastAsia="Times New Roman"/>
          <w:b w:val="0"/>
          <w:i w:val="0"/>
          <w:sz w:val="22"/>
        </w:rPr>
        <w:t>2.4. The quality of the petroleum products delivered under this Agreement shall comply with the standards agreed by the Parties for each petroleum product in the Annexes to this Agreement.</w:t>
      </w:r>
    </w:p>
    <w:p>
      <w:pPr>
        <w:spacing w:before="0" w:after="60"/>
        <w:ind w:firstLine="510"/>
        <w:jc w:val="both"/>
      </w:pPr>
      <w:r>
        <w:rPr>
          <w:rFonts w:ascii="Times New Roman" w:hAnsi="Times New Roman" w:cs="Times New Roman" w:eastAsia="Times New Roman"/>
          <w:b w:val="0"/>
          <w:i w:val="0"/>
          <w:sz w:val="22"/>
        </w:rPr>
        <w:t>2.5. The petroleum product is deemed delivered by the Seller and accepted by the Buyer in respect of quality as specified in the Quality Certificate (Report) issued by the Seller's laboratory or an independent accredited (certified) testing laboratory.</w:t>
      </w:r>
    </w:p>
    <w:p>
      <w:pPr>
        <w:spacing w:before="0" w:after="60"/>
        <w:ind w:firstLine="510"/>
        <w:jc w:val="both"/>
      </w:pPr>
      <w:r>
        <w:rPr>
          <w:rFonts w:ascii="Times New Roman" w:hAnsi="Times New Roman" w:cs="Times New Roman" w:eastAsia="Times New Roman"/>
          <w:b w:val="0"/>
          <w:i w:val="0"/>
          <w:sz w:val="22"/>
        </w:rPr>
        <w:t>2.6. A control sample of the petroleum product, duly taken from the tank (tank truck or railway tank car), is kept in the Seller's laboratory for the following periods from the delivery date:</w:t>
      </w:r>
    </w:p>
    <w:p>
      <w:pPr>
        <w:spacing w:before="0" w:after="60"/>
        <w:ind w:firstLine="510"/>
        <w:jc w:val="both"/>
      </w:pPr>
      <w:r>
        <w:rPr>
          <w:rFonts w:ascii="Times New Roman" w:hAnsi="Times New Roman" w:cs="Times New Roman" w:eastAsia="Times New Roman"/>
          <w:b w:val="0"/>
          <w:i w:val="0"/>
          <w:sz w:val="22"/>
        </w:rPr>
        <w:t>2.6.1. transfer in a tank — 45 days;</w:t>
      </w:r>
    </w:p>
    <w:p>
      <w:pPr>
        <w:spacing w:before="0" w:after="60"/>
        <w:ind w:firstLine="510"/>
        <w:jc w:val="both"/>
      </w:pPr>
      <w:r>
        <w:rPr>
          <w:rFonts w:ascii="Times New Roman" w:hAnsi="Times New Roman" w:cs="Times New Roman" w:eastAsia="Times New Roman"/>
          <w:b w:val="0"/>
          <w:i w:val="0"/>
          <w:sz w:val="22"/>
        </w:rPr>
        <w:t>2.6.2. delivery in railway tank cars — 45 days;</w:t>
      </w:r>
    </w:p>
    <w:p>
      <w:pPr>
        <w:spacing w:before="0" w:after="60"/>
        <w:ind w:firstLine="510"/>
        <w:jc w:val="both"/>
      </w:pPr>
      <w:r>
        <w:rPr>
          <w:rFonts w:ascii="Times New Roman" w:hAnsi="Times New Roman" w:cs="Times New Roman" w:eastAsia="Times New Roman"/>
          <w:b w:val="0"/>
          <w:i w:val="0"/>
          <w:sz w:val="22"/>
        </w:rPr>
        <w:t>2.6.3. delivery by tank truck — 10 days;</w:t>
      </w:r>
    </w:p>
    <w:p>
      <w:pPr>
        <w:spacing w:before="0" w:after="60"/>
        <w:ind w:firstLine="510"/>
        <w:jc w:val="both"/>
      </w:pPr>
      <w:r>
        <w:rPr>
          <w:rFonts w:ascii="Times New Roman" w:hAnsi="Times New Roman" w:cs="Times New Roman" w:eastAsia="Times New Roman"/>
          <w:b w:val="0"/>
          <w:i w:val="0"/>
          <w:sz w:val="22"/>
        </w:rPr>
        <w:t>2.6.4. export deliveries — 90 days.</w:t>
      </w:r>
    </w:p>
    <w:p>
      <w:pPr>
        <w:spacing w:before="0" w:after="60"/>
        <w:ind w:firstLine="510"/>
        <w:jc w:val="both"/>
      </w:pPr>
      <w:r>
        <w:rPr>
          <w:rFonts w:ascii="Times New Roman" w:hAnsi="Times New Roman" w:cs="Times New Roman" w:eastAsia="Times New Roman"/>
          <w:b w:val="0"/>
          <w:i w:val="0"/>
          <w:sz w:val="22"/>
        </w:rPr>
        <w:t>2.7. In the event of a dispute over the quality of the delivered petroleum product, the control samples shall be submitted to an independent, duly accredited (certified) laboratory agreed by the Parties.</w:t>
      </w:r>
    </w:p>
    <w:p>
      <w:pPr>
        <w:spacing w:before="0" w:after="60"/>
        <w:ind w:firstLine="510"/>
        <w:jc w:val="both"/>
      </w:pPr>
      <w:r>
        <w:rPr>
          <w:rFonts w:ascii="Times New Roman" w:hAnsi="Times New Roman" w:cs="Times New Roman" w:eastAsia="Times New Roman"/>
          <w:b w:val="0"/>
          <w:i w:val="0"/>
          <w:sz w:val="22"/>
        </w:rPr>
        <w:t>2.8. Upon expiry of the sample retention periods specified in clause 2.6 of this Agreement, neither the Buyer nor third parties may bring quality claims against the Seller.</w:t>
      </w:r>
    </w:p>
    <w:p>
      <w:pPr>
        <w:keepNext/>
        <w:spacing w:before="240" w:after="120"/>
        <w:jc w:val="center"/>
      </w:pPr>
      <w:r>
        <w:rPr>
          <w:rFonts w:ascii="Arial" w:hAnsi="Arial" w:cs="Arial" w:eastAsia="Arial"/>
          <w:b/>
          <w:i w:val="0"/>
          <w:color w:val="C9A227"/>
          <w:sz w:val="23"/>
        </w:rPr>
        <w:t>Article 3.</w:t>
      </w:r>
      <w:r>
        <w:rPr>
          <w:rFonts w:ascii="Arial" w:hAnsi="Arial" w:cs="Arial" w:eastAsia="Arial"/>
          <w:b/>
          <w:i w:val="0"/>
          <w:color w:val="0A2547"/>
          <w:sz w:val="23"/>
        </w:rPr>
        <w:t xml:space="preserve"> DELIVERY BASIS, TIME AND DATE</w:t>
      </w:r>
    </w:p>
    <w:p>
      <w:pPr>
        <w:spacing w:before="0" w:after="60"/>
        <w:ind w:firstLine="510"/>
        <w:jc w:val="both"/>
      </w:pPr>
      <w:r>
        <w:rPr>
          <w:rFonts w:ascii="Times New Roman" w:hAnsi="Times New Roman" w:cs="Times New Roman" w:eastAsia="Times New Roman"/>
          <w:b w:val="0"/>
          <w:i w:val="0"/>
          <w:sz w:val="22"/>
        </w:rPr>
        <w:t>3.1. The Seller shall deliver and the Buyer shall accept the petroleum product on the EXW (ex works, refinery tank) delivery basis at the oil refinery of Caspian Oil Industrial Company LLP located at: Republic of Kazakhstan, Mangistau Region, Aktau, Industrial Zone 5, 65, in accordance with Incoterms 2020.</w:t>
      </w:r>
    </w:p>
    <w:p>
      <w:pPr>
        <w:spacing w:before="0" w:after="60"/>
        <w:ind w:firstLine="510"/>
        <w:jc w:val="both"/>
      </w:pPr>
      <w:r>
        <w:rPr>
          <w:rFonts w:ascii="Times New Roman" w:hAnsi="Times New Roman" w:cs="Times New Roman" w:eastAsia="Times New Roman"/>
          <w:b w:val="0"/>
          <w:i w:val="0"/>
          <w:sz w:val="22"/>
        </w:rPr>
        <w:t>3.2. The delivery time and schedule shall be agreed by the Parties in the Annexes to this Agreement.</w:t>
      </w:r>
    </w:p>
    <w:p>
      <w:pPr>
        <w:spacing w:before="0" w:after="60"/>
        <w:ind w:firstLine="510"/>
        <w:jc w:val="both"/>
      </w:pPr>
      <w:r>
        <w:rPr>
          <w:rFonts w:ascii="Times New Roman" w:hAnsi="Times New Roman" w:cs="Times New Roman" w:eastAsia="Times New Roman"/>
          <w:b w:val="0"/>
          <w:i w:val="0"/>
          <w:sz w:val="22"/>
        </w:rPr>
        <w:t>3.3. The delivery date under this Agreement is:</w:t>
      </w:r>
    </w:p>
    <w:p>
      <w:pPr>
        <w:spacing w:before="0" w:after="60"/>
        <w:ind w:firstLine="510"/>
        <w:jc w:val="both"/>
      </w:pPr>
      <w:r>
        <w:rPr>
          <w:rFonts w:ascii="Times New Roman" w:hAnsi="Times New Roman" w:cs="Times New Roman" w:eastAsia="Times New Roman"/>
          <w:b w:val="0"/>
          <w:i w:val="0"/>
          <w:sz w:val="22"/>
        </w:rPr>
        <w:t>3.3.1. the date of the delivery and acceptance certificate — for transfer of the petroleum product in the tanks of the oil refinery of Caspian Oil Industrial Company LLP;</w:t>
      </w:r>
    </w:p>
    <w:p>
      <w:pPr>
        <w:spacing w:before="0" w:after="60"/>
        <w:ind w:firstLine="510"/>
        <w:jc w:val="both"/>
      </w:pPr>
      <w:r>
        <w:rPr>
          <w:rFonts w:ascii="Times New Roman" w:hAnsi="Times New Roman" w:cs="Times New Roman" w:eastAsia="Times New Roman"/>
          <w:b w:val="0"/>
          <w:i w:val="0"/>
          <w:sz w:val="22"/>
        </w:rPr>
        <w:t>3.3.2. the date of the stamp of the departure station (Mangistau station, code 663306) — for delivery in railway tank cars;</w:t>
      </w:r>
    </w:p>
    <w:p>
      <w:pPr>
        <w:spacing w:before="0" w:after="60"/>
        <w:ind w:firstLine="510"/>
        <w:jc w:val="both"/>
      </w:pPr>
      <w:r>
        <w:rPr>
          <w:rFonts w:ascii="Times New Roman" w:hAnsi="Times New Roman" w:cs="Times New Roman" w:eastAsia="Times New Roman"/>
          <w:b w:val="0"/>
          <w:i w:val="0"/>
          <w:sz w:val="22"/>
        </w:rPr>
        <w:t>3.3.3. the date of the consignment note — for delivery by tank truck;</w:t>
      </w:r>
    </w:p>
    <w:p>
      <w:pPr>
        <w:spacing w:before="0" w:after="60"/>
        <w:ind w:firstLine="510"/>
        <w:jc w:val="both"/>
      </w:pPr>
      <w:r>
        <w:rPr>
          <w:rFonts w:ascii="Times New Roman" w:hAnsi="Times New Roman" w:cs="Times New Roman" w:eastAsia="Times New Roman"/>
          <w:b w:val="0"/>
          <w:i w:val="0"/>
          <w:sz w:val="22"/>
        </w:rPr>
        <w:t>3.3.4. the date of the independent inspector's report — for export deliveries.</w:t>
      </w:r>
    </w:p>
    <w:p>
      <w:pPr>
        <w:spacing w:before="0" w:after="60"/>
        <w:ind w:firstLine="510"/>
        <w:jc w:val="both"/>
      </w:pPr>
      <w:r>
        <w:rPr>
          <w:rFonts w:ascii="Times New Roman" w:hAnsi="Times New Roman" w:cs="Times New Roman" w:eastAsia="Times New Roman"/>
          <w:b w:val="0"/>
          <w:i w:val="0"/>
          <w:sz w:val="22"/>
        </w:rPr>
        <w:t>3.4. For deliveries by tank truck, petroleum products are released from 9:30 a.m. to 5:00 p.m. Aktau time on business days (Monday to Friday).</w:t>
      </w:r>
    </w:p>
    <w:p>
      <w:pPr>
        <w:keepNext/>
        <w:spacing w:before="240" w:after="120"/>
        <w:jc w:val="center"/>
      </w:pPr>
      <w:r>
        <w:rPr>
          <w:rFonts w:ascii="Arial" w:hAnsi="Arial" w:cs="Arial" w:eastAsia="Arial"/>
          <w:b/>
          <w:i w:val="0"/>
          <w:color w:val="C9A227"/>
          <w:sz w:val="23"/>
        </w:rPr>
        <w:t>Article 4.</w:t>
      </w:r>
      <w:r>
        <w:rPr>
          <w:rFonts w:ascii="Arial" w:hAnsi="Arial" w:cs="Arial" w:eastAsia="Arial"/>
          <w:b/>
          <w:i w:val="0"/>
          <w:color w:val="0A2547"/>
          <w:sz w:val="23"/>
        </w:rPr>
        <w:t xml:space="preserve"> PRICE, VALUE AND PAYMENT</w:t>
      </w:r>
    </w:p>
    <w:p>
      <w:pPr>
        <w:spacing w:before="0" w:after="60"/>
        <w:ind w:firstLine="510"/>
        <w:jc w:val="both"/>
      </w:pPr>
      <w:r>
        <w:rPr>
          <w:rFonts w:ascii="Times New Roman" w:hAnsi="Times New Roman" w:cs="Times New Roman" w:eastAsia="Times New Roman"/>
          <w:b w:val="0"/>
          <w:i w:val="0"/>
          <w:sz w:val="22"/>
        </w:rPr>
        <w:t>4.1. The Seller sells and the Buyer purchases petroleum products on the EXW (ex works, refinery tank) delivery basis at the oil refinery of Caspian Oil Industrial Company LLP (Incoterms 2020) at the prices agreed by the Parties in the Annexes to this Agreement. The price includes all taxes, duties and charges payable by the Seller under the applicable laws of the Republic of Kazakhstan.</w:t>
      </w:r>
    </w:p>
    <w:p>
      <w:pPr>
        <w:spacing w:before="0" w:after="60"/>
        <w:ind w:firstLine="510"/>
        <w:jc w:val="both"/>
      </w:pPr>
      <w:r>
        <w:rPr>
          <w:rFonts w:ascii="Times New Roman" w:hAnsi="Times New Roman" w:cs="Times New Roman" w:eastAsia="Times New Roman"/>
          <w:b w:val="0"/>
          <w:i w:val="0"/>
          <w:sz w:val="22"/>
        </w:rPr>
        <w:t>4.2. On the EXW delivery basis the price of the petroleum product also includes loading services, the Quality Certificate issued by the Seller's laboratory (or an independent accredited (certified) laboratory) and the shipping documents.</w:t>
      </w:r>
    </w:p>
    <w:p>
      <w:pPr>
        <w:spacing w:before="0" w:after="60"/>
        <w:ind w:firstLine="510"/>
        <w:jc w:val="both"/>
      </w:pPr>
      <w:r>
        <w:rPr>
          <w:rFonts w:ascii="Times New Roman" w:hAnsi="Times New Roman" w:cs="Times New Roman" w:eastAsia="Times New Roman"/>
          <w:b w:val="0"/>
          <w:i w:val="0"/>
          <w:sz w:val="22"/>
        </w:rPr>
        <w:t>4.3. On the EXW delivery basis the price of the petroleum product does not include:</w:t>
      </w:r>
    </w:p>
    <w:p>
      <w:pPr>
        <w:spacing w:before="0" w:after="60"/>
        <w:ind w:firstLine="510"/>
        <w:jc w:val="both"/>
      </w:pPr>
      <w:r>
        <w:rPr>
          <w:rFonts w:ascii="Times New Roman" w:hAnsi="Times New Roman" w:cs="Times New Roman" w:eastAsia="Times New Roman"/>
          <w:b w:val="0"/>
          <w:i w:val="0"/>
          <w:sz w:val="22"/>
        </w:rPr>
        <w:t>4.3.1. the services of an independent inspector for determining the quantity of the delivered petroleum product;</w:t>
      </w:r>
    </w:p>
    <w:p>
      <w:pPr>
        <w:spacing w:before="0" w:after="60"/>
        <w:ind w:firstLine="510"/>
        <w:jc w:val="both"/>
      </w:pPr>
      <w:r>
        <w:rPr>
          <w:rFonts w:ascii="Times New Roman" w:hAnsi="Times New Roman" w:cs="Times New Roman" w:eastAsia="Times New Roman"/>
          <w:b w:val="0"/>
          <w:i w:val="0"/>
          <w:sz w:val="22"/>
        </w:rPr>
        <w:t>4.3.2. the cost of sealing the tank cars;</w:t>
      </w:r>
    </w:p>
    <w:p>
      <w:pPr>
        <w:spacing w:before="0" w:after="60"/>
        <w:ind w:firstLine="510"/>
        <w:jc w:val="both"/>
      </w:pPr>
      <w:r>
        <w:rPr>
          <w:rFonts w:ascii="Times New Roman" w:hAnsi="Times New Roman" w:cs="Times New Roman" w:eastAsia="Times New Roman"/>
          <w:b w:val="0"/>
          <w:i w:val="0"/>
          <w:sz w:val="22"/>
        </w:rPr>
        <w:t>4.3.3. the cost of delivery and removal of railway tank cars.</w:t>
      </w:r>
    </w:p>
    <w:p>
      <w:pPr>
        <w:spacing w:before="0" w:after="60"/>
        <w:ind w:firstLine="510"/>
        <w:jc w:val="both"/>
      </w:pPr>
      <w:r>
        <w:rPr>
          <w:rFonts w:ascii="Times New Roman" w:hAnsi="Times New Roman" w:cs="Times New Roman" w:eastAsia="Times New Roman"/>
          <w:b w:val="0"/>
          <w:i w:val="0"/>
          <w:sz w:val="22"/>
        </w:rPr>
        <w:t>4.4. The total value of a single or monthly consignment of petroleum products shall be agreed by the Parties in the Annexes to this Agreement.</w:t>
      </w:r>
    </w:p>
    <w:p>
      <w:pPr>
        <w:spacing w:before="0" w:after="60"/>
        <w:ind w:firstLine="510"/>
        <w:jc w:val="both"/>
      </w:pPr>
      <w:r>
        <w:rPr>
          <w:rFonts w:ascii="Times New Roman" w:hAnsi="Times New Roman" w:cs="Times New Roman" w:eastAsia="Times New Roman"/>
          <w:b w:val="0"/>
          <w:i w:val="0"/>
          <w:sz w:val="22"/>
        </w:rPr>
        <w:t>4.5. Within 3 (three) business days from the date of approval of the relevant Annex the Seller shall issue to the Buyer an invoice for 100% of the value of the consignment, including the cost of the petroleum product and of the additional services (sealing, delivery/removal of railway tank cars, obtaining an additional transportation plan, independent inspection).</w:t>
      </w:r>
    </w:p>
    <w:p>
      <w:pPr>
        <w:spacing w:before="0" w:after="60"/>
        <w:ind w:firstLine="510"/>
        <w:jc w:val="both"/>
      </w:pPr>
      <w:r>
        <w:rPr>
          <w:rFonts w:ascii="Times New Roman" w:hAnsi="Times New Roman" w:cs="Times New Roman" w:eastAsia="Times New Roman"/>
          <w:b w:val="0"/>
          <w:i w:val="0"/>
          <w:sz w:val="22"/>
        </w:rPr>
        <w:t>4.6. Within 3 (three) banking days from receipt of the invoice under clause 4.5 of the Agreement the Buyer shall make an advance payment of 100% of the value of the consignment agreed by the Parties.</w:t>
      </w:r>
    </w:p>
    <w:p>
      <w:pPr>
        <w:spacing w:before="0" w:after="60"/>
        <w:ind w:firstLine="510"/>
        <w:jc w:val="both"/>
      </w:pPr>
      <w:r>
        <w:rPr>
          <w:rFonts w:ascii="Times New Roman" w:hAnsi="Times New Roman" w:cs="Times New Roman" w:eastAsia="Times New Roman"/>
          <w:b w:val="0"/>
          <w:i w:val="0"/>
          <w:sz w:val="22"/>
        </w:rPr>
        <w:t>4.7. Payments under this Agreement shall be made by the Buyer in the currency agreed by the Parties in the relevant Annex: in the national currency of the Republic of Kazakhstan — tenge (for residents of the Republic of Kazakhstan) or in Russian roubles, US dollars or another agreed currency (for foreign trade deliveries), against invoices issued in the form required by the applicable law.</w:t>
      </w:r>
    </w:p>
    <w:p>
      <w:pPr>
        <w:spacing w:before="0" w:after="60"/>
        <w:ind w:firstLine="510"/>
        <w:jc w:val="both"/>
      </w:pPr>
      <w:r>
        <w:rPr>
          <w:rFonts w:ascii="Times New Roman" w:hAnsi="Times New Roman" w:cs="Times New Roman" w:eastAsia="Times New Roman"/>
          <w:b w:val="0"/>
          <w:i w:val="0"/>
          <w:sz w:val="22"/>
        </w:rPr>
        <w:t>4.8. The value of the petroleum product is fixed in the payment currency and may be revised by the Parties in accordance with the procedure provided for by this Agreement.</w:t>
      </w:r>
    </w:p>
    <w:p>
      <w:pPr>
        <w:spacing w:before="0" w:after="60"/>
        <w:ind w:firstLine="510"/>
        <w:jc w:val="both"/>
      </w:pPr>
      <w:r>
        <w:rPr>
          <w:rFonts w:ascii="Times New Roman" w:hAnsi="Times New Roman" w:cs="Times New Roman" w:eastAsia="Times New Roman"/>
          <w:b w:val="0"/>
          <w:i w:val="0"/>
          <w:sz w:val="22"/>
        </w:rPr>
        <w:t>4.9. Charges of the Buyer's bank shall be borne by the Buyer; charges of the Seller's bank shall be borne by the Seller.</w:t>
      </w:r>
    </w:p>
    <w:p>
      <w:pPr>
        <w:keepNext/>
        <w:spacing w:before="240" w:after="120"/>
        <w:jc w:val="center"/>
      </w:pPr>
      <w:r>
        <w:rPr>
          <w:rFonts w:ascii="Arial" w:hAnsi="Arial" w:cs="Arial" w:eastAsia="Arial"/>
          <w:b/>
          <w:i w:val="0"/>
          <w:color w:val="C9A227"/>
          <w:sz w:val="23"/>
        </w:rPr>
        <w:t>Article 5.</w:t>
      </w:r>
      <w:r>
        <w:rPr>
          <w:rFonts w:ascii="Arial" w:hAnsi="Arial" w:cs="Arial" w:eastAsia="Arial"/>
          <w:b/>
          <w:i w:val="0"/>
          <w:color w:val="0A2547"/>
          <w:sz w:val="23"/>
        </w:rPr>
        <w:t xml:space="preserve"> DELIVERY PROCEDURE</w:t>
      </w:r>
    </w:p>
    <w:p>
      <w:pPr>
        <w:spacing w:before="0" w:after="60"/>
        <w:ind w:firstLine="510"/>
        <w:jc w:val="both"/>
      </w:pPr>
      <w:r>
        <w:rPr>
          <w:rFonts w:ascii="Times New Roman" w:hAnsi="Times New Roman" w:cs="Times New Roman" w:eastAsia="Times New Roman"/>
          <w:b w:val="0"/>
          <w:i w:val="0"/>
          <w:sz w:val="22"/>
        </w:rPr>
        <w:t>5.1. Where the petroleum product is transferred in the tanks of the oil refinery of Caspian Oil Industrial Company LLP, the Buyer shall accept the petroleum product under the delivery and acceptance certificate within 3 (three) business days from receipt of the Seller's notice that the petroleum product is ready for delivery.</w:t>
      </w:r>
    </w:p>
    <w:p>
      <w:pPr>
        <w:spacing w:before="0" w:after="60"/>
        <w:ind w:firstLine="510"/>
        <w:jc w:val="both"/>
      </w:pPr>
      <w:r>
        <w:rPr>
          <w:rFonts w:ascii="Times New Roman" w:hAnsi="Times New Roman" w:cs="Times New Roman" w:eastAsia="Times New Roman"/>
          <w:b w:val="0"/>
          <w:i w:val="0"/>
          <w:sz w:val="22"/>
        </w:rPr>
        <w:t>5.2. For delivery of the petroleum product by tank truck the Buyer shall:</w:t>
      </w:r>
    </w:p>
    <w:p>
      <w:pPr>
        <w:spacing w:before="0" w:after="40"/>
        <w:ind w:left="510"/>
        <w:jc w:val="both"/>
      </w:pPr>
      <w:r>
        <w:rPr>
          <w:rFonts w:ascii="Times New Roman" w:hAnsi="Times New Roman" w:cs="Times New Roman" w:eastAsia="Times New Roman"/>
          <w:b w:val="0"/>
          <w:i w:val="0"/>
          <w:sz w:val="22"/>
        </w:rPr>
        <w:t>– submit an application specifying the name and quantity of the petroleum product, the make and number of the tank truck, and a power of attorney for the driver;</w:t>
      </w:r>
    </w:p>
    <w:p>
      <w:pPr>
        <w:spacing w:before="0" w:after="40"/>
        <w:ind w:left="510"/>
        <w:jc w:val="both"/>
      </w:pPr>
      <w:r>
        <w:rPr>
          <w:rFonts w:ascii="Times New Roman" w:hAnsi="Times New Roman" w:cs="Times New Roman" w:eastAsia="Times New Roman"/>
          <w:b w:val="0"/>
          <w:i w:val="0"/>
          <w:sz w:val="22"/>
        </w:rPr>
        <w:t>– provide for loading technically sound and clean vehicles equipped with fire-fighting appliances, a spark arrester on the exhaust pipe and earthing, with valid calibration certificates for the tank;</w:t>
      </w:r>
    </w:p>
    <w:p>
      <w:pPr>
        <w:spacing w:before="0" w:after="40"/>
        <w:ind w:left="510"/>
        <w:jc w:val="both"/>
      </w:pPr>
      <w:r>
        <w:rPr>
          <w:rFonts w:ascii="Times New Roman" w:hAnsi="Times New Roman" w:cs="Times New Roman" w:eastAsia="Times New Roman"/>
          <w:b w:val="0"/>
          <w:i w:val="0"/>
          <w:sz w:val="22"/>
        </w:rPr>
        <w:t>– remove the petroleum products within the agreed time;</w:t>
      </w:r>
    </w:p>
    <w:p>
      <w:pPr>
        <w:spacing w:before="0" w:after="40"/>
        <w:ind w:left="510"/>
        <w:jc w:val="both"/>
      </w:pPr>
      <w:r>
        <w:rPr>
          <w:rFonts w:ascii="Times New Roman" w:hAnsi="Times New Roman" w:cs="Times New Roman" w:eastAsia="Times New Roman"/>
          <w:b w:val="0"/>
          <w:i w:val="0"/>
          <w:sz w:val="22"/>
        </w:rPr>
        <w:t>– observe the safety rules for handling flammable goods;</w:t>
      </w:r>
    </w:p>
    <w:p>
      <w:pPr>
        <w:spacing w:before="0" w:after="40"/>
        <w:ind w:left="510"/>
        <w:jc w:val="both"/>
      </w:pPr>
      <w:r>
        <w:rPr>
          <w:rFonts w:ascii="Times New Roman" w:hAnsi="Times New Roman" w:cs="Times New Roman" w:eastAsia="Times New Roman"/>
          <w:b w:val="0"/>
          <w:i w:val="0"/>
          <w:sz w:val="22"/>
        </w:rPr>
        <w:t>– observe the fire safety, occupational health and safety, road traffic safety, environmental, industrial safety and sanitary rules and requirements of the Seller's internal regulations.</w:t>
      </w:r>
    </w:p>
    <w:p>
      <w:pPr>
        <w:spacing w:before="0" w:after="60"/>
        <w:ind w:firstLine="510"/>
        <w:jc w:val="both"/>
      </w:pPr>
      <w:r>
        <w:rPr>
          <w:rFonts w:ascii="Times New Roman" w:hAnsi="Times New Roman" w:cs="Times New Roman" w:eastAsia="Times New Roman"/>
          <w:b w:val="0"/>
          <w:i w:val="0"/>
          <w:sz w:val="22"/>
        </w:rPr>
        <w:t>5.3. For delivery by tank truck the Seller may limit the daily release of the petroleum product to 100 (one hundred) tons per day.</w:t>
      </w:r>
    </w:p>
    <w:p>
      <w:pPr>
        <w:spacing w:before="0" w:after="60"/>
        <w:ind w:firstLine="510"/>
        <w:jc w:val="both"/>
      </w:pPr>
      <w:r>
        <w:rPr>
          <w:rFonts w:ascii="Times New Roman" w:hAnsi="Times New Roman" w:cs="Times New Roman" w:eastAsia="Times New Roman"/>
          <w:b w:val="0"/>
          <w:i w:val="0"/>
          <w:sz w:val="22"/>
        </w:rPr>
        <w:t>5.4. For delivery of the petroleum product in railway tank cars the Buyer shall:</w:t>
      </w:r>
    </w:p>
    <w:p>
      <w:pPr>
        <w:spacing w:before="0" w:after="40"/>
        <w:ind w:left="510"/>
        <w:jc w:val="both"/>
      </w:pPr>
      <w:r>
        <w:rPr>
          <w:rFonts w:ascii="Times New Roman" w:hAnsi="Times New Roman" w:cs="Times New Roman" w:eastAsia="Times New Roman"/>
          <w:b w:val="0"/>
          <w:i w:val="0"/>
          <w:sz w:val="22"/>
        </w:rPr>
        <w:t>– ensure the timely availability of the railway transportation plan;</w:t>
      </w:r>
    </w:p>
    <w:p>
      <w:pPr>
        <w:spacing w:before="0" w:after="40"/>
        <w:ind w:left="510"/>
        <w:jc w:val="both"/>
      </w:pPr>
      <w:r>
        <w:rPr>
          <w:rFonts w:ascii="Times New Roman" w:hAnsi="Times New Roman" w:cs="Times New Roman" w:eastAsia="Times New Roman"/>
          <w:b w:val="0"/>
          <w:i w:val="0"/>
          <w:sz w:val="22"/>
        </w:rPr>
        <w:t>– submit in due time a shipment application in the approved form;</w:t>
      </w:r>
    </w:p>
    <w:p>
      <w:pPr>
        <w:spacing w:before="0" w:after="40"/>
        <w:ind w:left="510"/>
        <w:jc w:val="both"/>
      </w:pPr>
      <w:r>
        <w:rPr>
          <w:rFonts w:ascii="Times New Roman" w:hAnsi="Times New Roman" w:cs="Times New Roman" w:eastAsia="Times New Roman"/>
          <w:b w:val="0"/>
          <w:i w:val="0"/>
          <w:sz w:val="22"/>
        </w:rPr>
        <w:t>– provide technically sound, clean four-axle railway tank cars for loading;</w:t>
      </w:r>
    </w:p>
    <w:p>
      <w:pPr>
        <w:spacing w:before="0" w:after="40"/>
        <w:ind w:left="510"/>
        <w:jc w:val="both"/>
      </w:pPr>
      <w:r>
        <w:rPr>
          <w:rFonts w:ascii="Times New Roman" w:hAnsi="Times New Roman" w:cs="Times New Roman" w:eastAsia="Times New Roman"/>
          <w:b w:val="0"/>
          <w:i w:val="0"/>
          <w:sz w:val="22"/>
        </w:rPr>
        <w:t>– remove the loaded and documented railway tank cars in due time.</w:t>
      </w:r>
    </w:p>
    <w:p>
      <w:pPr>
        <w:spacing w:before="0" w:after="60"/>
        <w:ind w:firstLine="510"/>
        <w:jc w:val="both"/>
      </w:pPr>
      <w:r>
        <w:rPr>
          <w:rFonts w:ascii="Times New Roman" w:hAnsi="Times New Roman" w:cs="Times New Roman" w:eastAsia="Times New Roman"/>
          <w:b w:val="0"/>
          <w:i w:val="0"/>
          <w:sz w:val="22"/>
        </w:rPr>
        <w:t>5.5. Title to the petroleum product passes from the Seller to the Buyer on the delivery date. All risks of full or partial loss of or damage to the petroleum product pass to the Buyer from the moment the petroleum product is loaded into the tank (tank car).</w:t>
      </w:r>
    </w:p>
    <w:p>
      <w:pPr>
        <w:keepNext/>
        <w:spacing w:before="240" w:after="120"/>
        <w:jc w:val="center"/>
      </w:pPr>
      <w:r>
        <w:rPr>
          <w:rFonts w:ascii="Arial" w:hAnsi="Arial" w:cs="Arial" w:eastAsia="Arial"/>
          <w:b/>
          <w:i w:val="0"/>
          <w:color w:val="C9A227"/>
          <w:sz w:val="23"/>
        </w:rPr>
        <w:t>Article 6.</w:t>
      </w:r>
      <w:r>
        <w:rPr>
          <w:rFonts w:ascii="Arial" w:hAnsi="Arial" w:cs="Arial" w:eastAsia="Arial"/>
          <w:b/>
          <w:i w:val="0"/>
          <w:color w:val="0A2547"/>
          <w:sz w:val="23"/>
        </w:rPr>
        <w:t xml:space="preserve"> STORAGE</w:t>
      </w:r>
    </w:p>
    <w:p>
      <w:pPr>
        <w:spacing w:before="0" w:after="60"/>
        <w:ind w:firstLine="510"/>
        <w:jc w:val="both"/>
      </w:pPr>
      <w:r>
        <w:rPr>
          <w:rFonts w:ascii="Times New Roman" w:hAnsi="Times New Roman" w:cs="Times New Roman" w:eastAsia="Times New Roman"/>
          <w:b w:val="0"/>
          <w:i w:val="0"/>
          <w:sz w:val="22"/>
        </w:rPr>
        <w:t>6.1. Where the petroleum product is transferred in a tank, the Buyer may store the purchased and accepted quantity in the Seller's tank for 30 (thirty) calendar days from the date of the delivery and acceptance certificate. After that period the Seller may charge a storage fee in accordance with the Seller's current price list.</w:t>
      </w:r>
    </w:p>
    <w:p>
      <w:pPr>
        <w:spacing w:before="0" w:after="60"/>
        <w:ind w:firstLine="510"/>
        <w:jc w:val="both"/>
      </w:pPr>
      <w:r>
        <w:rPr>
          <w:rFonts w:ascii="Times New Roman" w:hAnsi="Times New Roman" w:cs="Times New Roman" w:eastAsia="Times New Roman"/>
          <w:b w:val="0"/>
          <w:i w:val="0"/>
          <w:sz w:val="22"/>
        </w:rPr>
        <w:t>6.2. Where the petroleum product is delivered by tank truck, the Buyer may store the purchased quantity in the Seller's tank for 10 (ten) calendar days from the date of payment. After that period the Seller may charge a storage fee in accordance with the Seller's current price list.</w:t>
      </w:r>
    </w:p>
    <w:p>
      <w:pPr>
        <w:spacing w:before="0" w:after="60"/>
        <w:ind w:firstLine="510"/>
        <w:jc w:val="both"/>
      </w:pPr>
      <w:r>
        <w:rPr>
          <w:rFonts w:ascii="Times New Roman" w:hAnsi="Times New Roman" w:cs="Times New Roman" w:eastAsia="Times New Roman"/>
          <w:b w:val="0"/>
          <w:i w:val="0"/>
          <w:sz w:val="22"/>
        </w:rPr>
        <w:t>6.3. Where the petroleum product is delivered in railway tank cars, the Buyer may store the purchased quantity for 20 (twenty) calendar days from the date of payment. After that period the Seller may charge a storage fee in accordance with the Seller's current price list.</w:t>
      </w:r>
    </w:p>
    <w:p>
      <w:pPr>
        <w:keepNext/>
        <w:spacing w:before="240" w:after="120"/>
        <w:jc w:val="center"/>
      </w:pPr>
      <w:r>
        <w:rPr>
          <w:rFonts w:ascii="Arial" w:hAnsi="Arial" w:cs="Arial" w:eastAsia="Arial"/>
          <w:b/>
          <w:i w:val="0"/>
          <w:color w:val="C9A227"/>
          <w:sz w:val="23"/>
        </w:rPr>
        <w:t>Article 7.</w:t>
      </w:r>
      <w:r>
        <w:rPr>
          <w:rFonts w:ascii="Arial" w:hAnsi="Arial" w:cs="Arial" w:eastAsia="Arial"/>
          <w:b/>
          <w:i w:val="0"/>
          <w:color w:val="0A2547"/>
          <w:sz w:val="23"/>
        </w:rPr>
        <w:t xml:space="preserve"> WARRANTIES</w:t>
      </w:r>
    </w:p>
    <w:p>
      <w:pPr>
        <w:spacing w:before="0" w:after="60"/>
        <w:ind w:firstLine="510"/>
        <w:jc w:val="both"/>
      </w:pPr>
      <w:r>
        <w:rPr>
          <w:rFonts w:ascii="Times New Roman" w:hAnsi="Times New Roman" w:cs="Times New Roman" w:eastAsia="Times New Roman"/>
          <w:b w:val="0"/>
          <w:i w:val="0"/>
          <w:sz w:val="22"/>
        </w:rPr>
        <w:t>7.1. The Buyer hereby warrants and confirms its irrevocable firm obligation to purchase and remove the petroleum products on the terms set out in the signed Annexes to this Agreement.</w:t>
      </w:r>
    </w:p>
    <w:p>
      <w:pPr>
        <w:spacing w:before="0" w:after="60"/>
        <w:ind w:firstLine="510"/>
        <w:jc w:val="both"/>
      </w:pPr>
      <w:r>
        <w:rPr>
          <w:rFonts w:ascii="Times New Roman" w:hAnsi="Times New Roman" w:cs="Times New Roman" w:eastAsia="Times New Roman"/>
          <w:b w:val="0"/>
          <w:i w:val="0"/>
          <w:sz w:val="22"/>
        </w:rPr>
        <w:t>7.2. The Seller hereby warrants that the petroleum products are owned by the Seller, are and will remain free from any rights and claims of third parties and are of legal origin.</w:t>
      </w:r>
    </w:p>
    <w:p>
      <w:pPr>
        <w:keepNext/>
        <w:spacing w:before="240" w:after="120"/>
        <w:jc w:val="center"/>
      </w:pPr>
      <w:r>
        <w:rPr>
          <w:rFonts w:ascii="Arial" w:hAnsi="Arial" w:cs="Arial" w:eastAsia="Arial"/>
          <w:b/>
          <w:i w:val="0"/>
          <w:color w:val="C9A227"/>
          <w:sz w:val="23"/>
        </w:rPr>
        <w:t>Article 8.</w:t>
      </w:r>
      <w:r>
        <w:rPr>
          <w:rFonts w:ascii="Arial" w:hAnsi="Arial" w:cs="Arial" w:eastAsia="Arial"/>
          <w:b/>
          <w:i w:val="0"/>
          <w:color w:val="0A2547"/>
          <w:sz w:val="23"/>
        </w:rPr>
        <w:t xml:space="preserve"> LIABILITY OF THE PARTIES</w:t>
      </w:r>
    </w:p>
    <w:p>
      <w:pPr>
        <w:spacing w:before="0" w:after="60"/>
        <w:ind w:firstLine="510"/>
        <w:jc w:val="both"/>
      </w:pPr>
      <w:r>
        <w:rPr>
          <w:rFonts w:ascii="Times New Roman" w:hAnsi="Times New Roman" w:cs="Times New Roman" w:eastAsia="Times New Roman"/>
          <w:b w:val="0"/>
          <w:i w:val="0"/>
          <w:sz w:val="22"/>
        </w:rPr>
        <w:t>8.1. For non-performance or improper performance of their obligations under this Agreement the Parties are liable in accordance with the applicable laws of the Republic of Kazakhstan.</w:t>
      </w:r>
    </w:p>
    <w:p>
      <w:pPr>
        <w:spacing w:before="0" w:after="60"/>
        <w:ind w:firstLine="510"/>
        <w:jc w:val="both"/>
      </w:pPr>
      <w:r>
        <w:rPr>
          <w:rFonts w:ascii="Times New Roman" w:hAnsi="Times New Roman" w:cs="Times New Roman" w:eastAsia="Times New Roman"/>
          <w:b w:val="0"/>
          <w:i w:val="0"/>
          <w:sz w:val="22"/>
        </w:rPr>
        <w:t>8.2. If the Buyer, through its own fault, fails to meet the payment deadline specified in clause 4.6 of the Agreement, the Buyer shall pay the Seller a penalty of 0.1% of the outstanding amount for each day of delay, but not more than 10% of the outstanding amount.</w:t>
      </w:r>
    </w:p>
    <w:p>
      <w:pPr>
        <w:spacing w:before="0" w:after="60"/>
        <w:ind w:firstLine="510"/>
        <w:jc w:val="both"/>
      </w:pPr>
      <w:r>
        <w:rPr>
          <w:rFonts w:ascii="Times New Roman" w:hAnsi="Times New Roman" w:cs="Times New Roman" w:eastAsia="Times New Roman"/>
          <w:b w:val="0"/>
          <w:i w:val="0"/>
          <w:sz w:val="22"/>
        </w:rPr>
        <w:t>8.3. The Buyer shall compensate the Seller in full for any loss and damage caused by improper or untimely compliance with the rules set out in clause 5.2 of this Agreement.</w:t>
      </w:r>
    </w:p>
    <w:p>
      <w:pPr>
        <w:spacing w:before="0" w:after="60"/>
        <w:ind w:firstLine="510"/>
        <w:jc w:val="both"/>
      </w:pPr>
      <w:r>
        <w:rPr>
          <w:rFonts w:ascii="Times New Roman" w:hAnsi="Times New Roman" w:cs="Times New Roman" w:eastAsia="Times New Roman"/>
          <w:b w:val="0"/>
          <w:i w:val="0"/>
          <w:sz w:val="22"/>
        </w:rPr>
        <w:t>8.4. If the Seller delivers a petroleum product of inadequate quality, the Buyer may refuse to accept such petroleum product.</w:t>
      </w:r>
    </w:p>
    <w:p>
      <w:pPr>
        <w:spacing w:before="0" w:after="60"/>
        <w:ind w:firstLine="510"/>
        <w:jc w:val="both"/>
      </w:pPr>
      <w:r>
        <w:rPr>
          <w:rFonts w:ascii="Times New Roman" w:hAnsi="Times New Roman" w:cs="Times New Roman" w:eastAsia="Times New Roman"/>
          <w:b w:val="0"/>
          <w:i w:val="0"/>
          <w:sz w:val="22"/>
        </w:rPr>
        <w:t>8.5. Payment of penalties does not release the defaulting Party from the performance of its obligations under this Agreement.</w:t>
      </w:r>
    </w:p>
    <w:p>
      <w:pPr>
        <w:keepNext/>
        <w:spacing w:before="240" w:after="120"/>
        <w:jc w:val="center"/>
      </w:pPr>
      <w:r>
        <w:rPr>
          <w:rFonts w:ascii="Arial" w:hAnsi="Arial" w:cs="Arial" w:eastAsia="Arial"/>
          <w:b/>
          <w:i w:val="0"/>
          <w:color w:val="C9A227"/>
          <w:sz w:val="23"/>
        </w:rPr>
        <w:t>Article 9.</w:t>
      </w:r>
      <w:r>
        <w:rPr>
          <w:rFonts w:ascii="Arial" w:hAnsi="Arial" w:cs="Arial" w:eastAsia="Arial"/>
          <w:b/>
          <w:i w:val="0"/>
          <w:color w:val="0A2547"/>
          <w:sz w:val="23"/>
        </w:rPr>
        <w:t xml:space="preserve"> INSURANCE</w:t>
      </w:r>
    </w:p>
    <w:p>
      <w:pPr>
        <w:spacing w:before="0" w:after="60"/>
        <w:ind w:firstLine="510"/>
        <w:jc w:val="both"/>
      </w:pPr>
      <w:r>
        <w:rPr>
          <w:rFonts w:ascii="Times New Roman" w:hAnsi="Times New Roman" w:cs="Times New Roman" w:eastAsia="Times New Roman"/>
          <w:b w:val="0"/>
          <w:i w:val="0"/>
          <w:sz w:val="22"/>
        </w:rPr>
        <w:t>9.1. Each Party shall maintain insurance to the full extent necessary to cover the performance of its obligations and its liability under this Agreement.</w:t>
      </w:r>
    </w:p>
    <w:p>
      <w:pPr>
        <w:keepNext/>
        <w:spacing w:before="240" w:after="120"/>
        <w:jc w:val="center"/>
      </w:pPr>
      <w:r>
        <w:rPr>
          <w:rFonts w:ascii="Arial" w:hAnsi="Arial" w:cs="Arial" w:eastAsia="Arial"/>
          <w:b/>
          <w:i w:val="0"/>
          <w:color w:val="C9A227"/>
          <w:sz w:val="23"/>
        </w:rPr>
        <w:t>Article 10.</w:t>
      </w:r>
      <w:r>
        <w:rPr>
          <w:rFonts w:ascii="Arial" w:hAnsi="Arial" w:cs="Arial" w:eastAsia="Arial"/>
          <w:b/>
          <w:i w:val="0"/>
          <w:color w:val="0A2547"/>
          <w:sz w:val="23"/>
        </w:rPr>
        <w:t xml:space="preserve"> CONFIDENTIALITY</w:t>
      </w:r>
    </w:p>
    <w:p>
      <w:pPr>
        <w:spacing w:before="0" w:after="60"/>
        <w:ind w:firstLine="510"/>
        <w:jc w:val="both"/>
      </w:pPr>
      <w:r>
        <w:rPr>
          <w:rFonts w:ascii="Times New Roman" w:hAnsi="Times New Roman" w:cs="Times New Roman" w:eastAsia="Times New Roman"/>
          <w:b w:val="0"/>
          <w:i w:val="0"/>
          <w:sz w:val="22"/>
        </w:rPr>
        <w:t>10.1. The Parties shall keep confidential the terms and provisions of this Agreement and all contractual, technical and/or business information relating to, or received in connection with, this Agreement.</w:t>
      </w:r>
    </w:p>
    <w:p>
      <w:pPr>
        <w:spacing w:before="0" w:after="60"/>
        <w:ind w:firstLine="510"/>
        <w:jc w:val="both"/>
      </w:pPr>
      <w:r>
        <w:rPr>
          <w:rFonts w:ascii="Times New Roman" w:hAnsi="Times New Roman" w:cs="Times New Roman" w:eastAsia="Times New Roman"/>
          <w:b w:val="0"/>
          <w:i w:val="0"/>
          <w:sz w:val="22"/>
        </w:rPr>
        <w:t>10.2. The provisions of this Article do not apply to information that:</w:t>
      </w:r>
    </w:p>
    <w:p>
      <w:pPr>
        <w:spacing w:before="0" w:after="40"/>
        <w:ind w:left="510"/>
        <w:jc w:val="both"/>
      </w:pPr>
      <w:r>
        <w:rPr>
          <w:rFonts w:ascii="Times New Roman" w:hAnsi="Times New Roman" w:cs="Times New Roman" w:eastAsia="Times New Roman"/>
          <w:b w:val="0"/>
          <w:i w:val="0"/>
          <w:sz w:val="22"/>
        </w:rPr>
        <w:t>– is publicly known;</w:t>
      </w:r>
    </w:p>
    <w:p>
      <w:pPr>
        <w:spacing w:before="0" w:after="40"/>
        <w:ind w:left="510"/>
        <w:jc w:val="both"/>
      </w:pPr>
      <w:r>
        <w:rPr>
          <w:rFonts w:ascii="Times New Roman" w:hAnsi="Times New Roman" w:cs="Times New Roman" w:eastAsia="Times New Roman"/>
          <w:b w:val="0"/>
          <w:i w:val="0"/>
          <w:sz w:val="22"/>
        </w:rPr>
        <w:t>– is disclosed as required by law;</w:t>
      </w:r>
    </w:p>
    <w:p>
      <w:pPr>
        <w:spacing w:before="0" w:after="40"/>
        <w:ind w:left="510"/>
        <w:jc w:val="both"/>
      </w:pPr>
      <w:r>
        <w:rPr>
          <w:rFonts w:ascii="Times New Roman" w:hAnsi="Times New Roman" w:cs="Times New Roman" w:eastAsia="Times New Roman"/>
          <w:b w:val="0"/>
          <w:i w:val="0"/>
          <w:sz w:val="22"/>
        </w:rPr>
        <w:t>– is disclosed to state authorities entitled to request such information, on the basis of a duly executed request.</w:t>
      </w:r>
    </w:p>
    <w:p>
      <w:pPr>
        <w:keepNext/>
        <w:spacing w:before="240" w:after="120"/>
        <w:jc w:val="center"/>
      </w:pPr>
      <w:r>
        <w:rPr>
          <w:rFonts w:ascii="Arial" w:hAnsi="Arial" w:cs="Arial" w:eastAsia="Arial"/>
          <w:b/>
          <w:i w:val="0"/>
          <w:color w:val="C9A227"/>
          <w:sz w:val="23"/>
        </w:rPr>
        <w:t>Article 11.</w:t>
      </w:r>
      <w:r>
        <w:rPr>
          <w:rFonts w:ascii="Arial" w:hAnsi="Arial" w:cs="Arial" w:eastAsia="Arial"/>
          <w:b/>
          <w:i w:val="0"/>
          <w:color w:val="0A2547"/>
          <w:sz w:val="23"/>
        </w:rPr>
        <w:t xml:space="preserve"> FORCE MAJEURE</w:t>
      </w:r>
    </w:p>
    <w:p>
      <w:pPr>
        <w:spacing w:before="0" w:after="60"/>
        <w:ind w:firstLine="510"/>
        <w:jc w:val="both"/>
      </w:pPr>
      <w:r>
        <w:rPr>
          <w:rFonts w:ascii="Times New Roman" w:hAnsi="Times New Roman" w:cs="Times New Roman" w:eastAsia="Times New Roman"/>
          <w:b w:val="0"/>
          <w:i w:val="0"/>
          <w:sz w:val="22"/>
        </w:rPr>
        <w:t>11.1. The Parties are released from liability for non-performance of one or more obligations under this Agreement if such non-performance was a direct consequence of force majeure circumstances.</w:t>
      </w:r>
    </w:p>
    <w:p>
      <w:pPr>
        <w:spacing w:before="0" w:after="60"/>
        <w:ind w:firstLine="510"/>
        <w:jc w:val="both"/>
      </w:pPr>
      <w:r>
        <w:rPr>
          <w:rFonts w:ascii="Times New Roman" w:hAnsi="Times New Roman" w:cs="Times New Roman" w:eastAsia="Times New Roman"/>
          <w:b w:val="0"/>
          <w:i w:val="0"/>
          <w:sz w:val="22"/>
        </w:rPr>
        <w:t>11.2. For the purposes of this Agreement, force majeure means a circumstance whose occurrence, continuation and consequences the affected Party could not prevent by taking appropriate measures and could not foresee as at the effective date of this Agreement, falling within one or more of the following categories:</w:t>
      </w:r>
    </w:p>
    <w:p>
      <w:pPr>
        <w:spacing w:before="0" w:after="40"/>
        <w:ind w:left="510"/>
        <w:jc w:val="both"/>
      </w:pPr>
      <w:r>
        <w:rPr>
          <w:rFonts w:ascii="Times New Roman" w:hAnsi="Times New Roman" w:cs="Times New Roman" w:eastAsia="Times New Roman"/>
          <w:b w:val="0"/>
          <w:i w:val="0"/>
          <w:sz w:val="22"/>
        </w:rPr>
        <w:t>– natural disaster;</w:t>
      </w:r>
    </w:p>
    <w:p>
      <w:pPr>
        <w:spacing w:before="0" w:after="40"/>
        <w:ind w:left="510"/>
        <w:jc w:val="both"/>
      </w:pPr>
      <w:r>
        <w:rPr>
          <w:rFonts w:ascii="Times New Roman" w:hAnsi="Times New Roman" w:cs="Times New Roman" w:eastAsia="Times New Roman"/>
          <w:b w:val="0"/>
          <w:i w:val="0"/>
          <w:sz w:val="22"/>
        </w:rPr>
        <w:t>– expropriation, confiscation, requisition or liquidation of property necessary for the performance of the obligations in whole or in part;</w:t>
      </w:r>
    </w:p>
    <w:p>
      <w:pPr>
        <w:spacing w:before="0" w:after="40"/>
        <w:ind w:left="510"/>
        <w:jc w:val="both"/>
      </w:pPr>
      <w:r>
        <w:rPr>
          <w:rFonts w:ascii="Times New Roman" w:hAnsi="Times New Roman" w:cs="Times New Roman" w:eastAsia="Times New Roman"/>
          <w:b w:val="0"/>
          <w:i w:val="0"/>
          <w:sz w:val="22"/>
        </w:rPr>
        <w:t>– military action or aggression, whether or not war is declared;</w:t>
      </w:r>
    </w:p>
    <w:p>
      <w:pPr>
        <w:spacing w:before="0" w:after="40"/>
        <w:ind w:left="510"/>
        <w:jc w:val="both"/>
      </w:pPr>
      <w:r>
        <w:rPr>
          <w:rFonts w:ascii="Times New Roman" w:hAnsi="Times New Roman" w:cs="Times New Roman" w:eastAsia="Times New Roman"/>
          <w:b w:val="0"/>
          <w:i w:val="0"/>
          <w:sz w:val="22"/>
        </w:rPr>
        <w:t>– national strikes or similar national unrest;</w:t>
      </w:r>
    </w:p>
    <w:p>
      <w:pPr>
        <w:spacing w:before="0" w:after="40"/>
        <w:ind w:left="510"/>
        <w:jc w:val="both"/>
      </w:pPr>
      <w:r>
        <w:rPr>
          <w:rFonts w:ascii="Times New Roman" w:hAnsi="Times New Roman" w:cs="Times New Roman" w:eastAsia="Times New Roman"/>
          <w:b w:val="0"/>
          <w:i w:val="0"/>
          <w:sz w:val="22"/>
        </w:rPr>
        <w:t>– insurrection, mutiny, sabotage or an act of terrorism;</w:t>
      </w:r>
    </w:p>
    <w:p>
      <w:pPr>
        <w:spacing w:before="0" w:after="40"/>
        <w:ind w:left="510"/>
        <w:jc w:val="both"/>
      </w:pPr>
      <w:r>
        <w:rPr>
          <w:rFonts w:ascii="Times New Roman" w:hAnsi="Times New Roman" w:cs="Times New Roman" w:eastAsia="Times New Roman"/>
          <w:b w:val="0"/>
          <w:i w:val="0"/>
          <w:sz w:val="22"/>
        </w:rPr>
        <w:t>– explosion, fire, flood, earthquake, thunderstorm, hail, catastrophic weather conditions or other natural calamities;</w:t>
      </w:r>
    </w:p>
    <w:p>
      <w:pPr>
        <w:spacing w:before="0" w:after="40"/>
        <w:ind w:left="510"/>
        <w:jc w:val="both"/>
      </w:pPr>
      <w:r>
        <w:rPr>
          <w:rFonts w:ascii="Times New Roman" w:hAnsi="Times New Roman" w:cs="Times New Roman" w:eastAsia="Times New Roman"/>
          <w:b w:val="0"/>
          <w:i w:val="0"/>
          <w:sz w:val="22"/>
        </w:rPr>
        <w:t>– an accident at the Seller's refinery or on the railway track;</w:t>
      </w:r>
    </w:p>
    <w:p>
      <w:pPr>
        <w:spacing w:before="0" w:after="40"/>
        <w:ind w:left="510"/>
        <w:jc w:val="both"/>
      </w:pPr>
      <w:r>
        <w:rPr>
          <w:rFonts w:ascii="Times New Roman" w:hAnsi="Times New Roman" w:cs="Times New Roman" w:eastAsia="Times New Roman"/>
          <w:b w:val="0"/>
          <w:i w:val="0"/>
          <w:sz w:val="22"/>
        </w:rPr>
        <w:t>– other similar events and/or occurrences.</w:t>
      </w:r>
    </w:p>
    <w:p>
      <w:pPr>
        <w:spacing w:before="0" w:after="60"/>
        <w:ind w:firstLine="510"/>
        <w:jc w:val="both"/>
      </w:pPr>
      <w:r>
        <w:rPr>
          <w:rFonts w:ascii="Times New Roman" w:hAnsi="Times New Roman" w:cs="Times New Roman" w:eastAsia="Times New Roman"/>
          <w:b w:val="0"/>
          <w:i w:val="0"/>
          <w:sz w:val="22"/>
        </w:rPr>
        <w:t>11.3. Upon the occurrence of force majeure circumstances the affected Party shall notify the other Party within 24 (twenty-four) hours and provide full information on the force majeure circumstances and their expected consequences affecting the performance of its obligations under this Agreement.</w:t>
      </w:r>
    </w:p>
    <w:p>
      <w:pPr>
        <w:spacing w:before="0" w:after="60"/>
        <w:ind w:firstLine="510"/>
        <w:jc w:val="both"/>
      </w:pPr>
      <w:r>
        <w:rPr>
          <w:rFonts w:ascii="Times New Roman" w:hAnsi="Times New Roman" w:cs="Times New Roman" w:eastAsia="Times New Roman"/>
          <w:b w:val="0"/>
          <w:i w:val="0"/>
          <w:sz w:val="22"/>
        </w:rPr>
        <w:t>11.4. Acting in a spirit of mutual trust, each Party shall take reasonable measures to reduce the duration of the force majeure circumstances and to mitigate their adverse consequences.</w:t>
      </w:r>
    </w:p>
    <w:p>
      <w:pPr>
        <w:spacing w:before="0" w:after="60"/>
        <w:ind w:firstLine="510"/>
        <w:jc w:val="both"/>
      </w:pPr>
      <w:r>
        <w:rPr>
          <w:rFonts w:ascii="Times New Roman" w:hAnsi="Times New Roman" w:cs="Times New Roman" w:eastAsia="Times New Roman"/>
          <w:b w:val="0"/>
          <w:i w:val="0"/>
          <w:sz w:val="22"/>
        </w:rPr>
        <w:t>11.5. Each Party shall independently bear all costs, expenses, losses and damages incurred by it as a result of the force majeure circumstances.</w:t>
      </w:r>
    </w:p>
    <w:p>
      <w:pPr>
        <w:spacing w:before="0" w:after="60"/>
        <w:ind w:firstLine="510"/>
        <w:jc w:val="both"/>
      </w:pPr>
      <w:r>
        <w:rPr>
          <w:rFonts w:ascii="Times New Roman" w:hAnsi="Times New Roman" w:cs="Times New Roman" w:eastAsia="Times New Roman"/>
          <w:b w:val="0"/>
          <w:i w:val="0"/>
          <w:sz w:val="22"/>
        </w:rPr>
        <w:t>11.6. The time for performance of the obligations under the Agreement is extended for the period during which the force majeure circumstances remain in effect. If the force majeure circumstances continue for more than 1 (one) month, either Party may refuse further performance of the Agreement.</w:t>
      </w:r>
    </w:p>
    <w:p>
      <w:pPr>
        <w:keepNext/>
        <w:spacing w:before="240" w:after="120"/>
        <w:jc w:val="center"/>
      </w:pPr>
      <w:r>
        <w:rPr>
          <w:rFonts w:ascii="Arial" w:hAnsi="Arial" w:cs="Arial" w:eastAsia="Arial"/>
          <w:b/>
          <w:i w:val="0"/>
          <w:color w:val="C9A227"/>
          <w:sz w:val="23"/>
        </w:rPr>
        <w:t>Article 12.</w:t>
      </w:r>
      <w:r>
        <w:rPr>
          <w:rFonts w:ascii="Arial" w:hAnsi="Arial" w:cs="Arial" w:eastAsia="Arial"/>
          <w:b/>
          <w:i w:val="0"/>
          <w:color w:val="0A2547"/>
          <w:sz w:val="23"/>
        </w:rPr>
        <w:t xml:space="preserve"> NOTICES AND CORRESPONDENCE</w:t>
      </w:r>
    </w:p>
    <w:p>
      <w:pPr>
        <w:spacing w:before="0" w:after="60"/>
        <w:ind w:firstLine="510"/>
        <w:jc w:val="both"/>
      </w:pPr>
      <w:r>
        <w:rPr>
          <w:rFonts w:ascii="Times New Roman" w:hAnsi="Times New Roman" w:cs="Times New Roman" w:eastAsia="Times New Roman"/>
          <w:b w:val="0"/>
          <w:i w:val="0"/>
          <w:sz w:val="22"/>
        </w:rPr>
        <w:t>12.1. All notices, reports and other information under this Agreement shall be provided by one Party to the other Party in writing, in English or Russian, and delivered in person, by courier service or by e-mail, or by any other means allowing reliable confirmation of the delivery of the notice, report or other information to the relevant Party.</w:t>
      </w:r>
    </w:p>
    <w:p>
      <w:pPr>
        <w:keepNext/>
        <w:spacing w:before="240" w:after="120"/>
        <w:jc w:val="center"/>
      </w:pPr>
      <w:r>
        <w:rPr>
          <w:rFonts w:ascii="Arial" w:hAnsi="Arial" w:cs="Arial" w:eastAsia="Arial"/>
          <w:b/>
          <w:i w:val="0"/>
          <w:color w:val="C9A227"/>
          <w:sz w:val="23"/>
        </w:rPr>
        <w:t>Article 13.</w:t>
      </w:r>
      <w:r>
        <w:rPr>
          <w:rFonts w:ascii="Arial" w:hAnsi="Arial" w:cs="Arial" w:eastAsia="Arial"/>
          <w:b/>
          <w:i w:val="0"/>
          <w:color w:val="0A2547"/>
          <w:sz w:val="23"/>
        </w:rPr>
        <w:t xml:space="preserve"> APPLICABLE LAW</w:t>
      </w:r>
    </w:p>
    <w:p>
      <w:pPr>
        <w:spacing w:before="0" w:after="60"/>
        <w:ind w:firstLine="510"/>
        <w:jc w:val="both"/>
      </w:pPr>
      <w:r>
        <w:rPr>
          <w:rFonts w:ascii="Times New Roman" w:hAnsi="Times New Roman" w:cs="Times New Roman" w:eastAsia="Times New Roman"/>
          <w:b w:val="0"/>
          <w:i w:val="0"/>
          <w:sz w:val="22"/>
        </w:rPr>
        <w:t>13.1. The interpretation, validity and performance of this Agreement, as well as any matters not regulated by this Agreement, are governed by the applicable laws of the Republic of Kazakhstan.</w:t>
      </w:r>
    </w:p>
    <w:p>
      <w:pPr>
        <w:keepNext/>
        <w:spacing w:before="240" w:after="120"/>
        <w:jc w:val="center"/>
      </w:pPr>
      <w:r>
        <w:rPr>
          <w:rFonts w:ascii="Arial" w:hAnsi="Arial" w:cs="Arial" w:eastAsia="Arial"/>
          <w:b/>
          <w:i w:val="0"/>
          <w:color w:val="C9A227"/>
          <w:sz w:val="23"/>
        </w:rPr>
        <w:t>Article 14.</w:t>
      </w:r>
      <w:r>
        <w:rPr>
          <w:rFonts w:ascii="Arial" w:hAnsi="Arial" w:cs="Arial" w:eastAsia="Arial"/>
          <w:b/>
          <w:i w:val="0"/>
          <w:color w:val="0A2547"/>
          <w:sz w:val="23"/>
        </w:rPr>
        <w:t xml:space="preserve"> DISPUTE RESOLUTION</w:t>
      </w:r>
    </w:p>
    <w:p>
      <w:pPr>
        <w:spacing w:before="0" w:after="60"/>
        <w:ind w:firstLine="510"/>
        <w:jc w:val="both"/>
      </w:pPr>
      <w:r>
        <w:rPr>
          <w:rFonts w:ascii="Times New Roman" w:hAnsi="Times New Roman" w:cs="Times New Roman" w:eastAsia="Times New Roman"/>
          <w:b w:val="0"/>
          <w:i w:val="0"/>
          <w:sz w:val="22"/>
        </w:rPr>
        <w:t>14.1. All disputes and disagreements arising in the course of the performance, amendment or termination of this Agreement shall be resolved through negotiations. A Party that has received a claim relating to this Agreement shall consider it within 10 (ten) calendar days of receipt and shall submit to, and agree with, the other Party a proposal for the settlement of the claim, disagreement or dispute.</w:t>
      </w:r>
    </w:p>
    <w:p>
      <w:pPr>
        <w:spacing w:before="0" w:after="60"/>
        <w:ind w:firstLine="510"/>
        <w:jc w:val="both"/>
      </w:pPr>
      <w:r>
        <w:rPr>
          <w:rFonts w:ascii="Times New Roman" w:hAnsi="Times New Roman" w:cs="Times New Roman" w:eastAsia="Times New Roman"/>
          <w:b w:val="0"/>
          <w:i w:val="0"/>
          <w:sz w:val="22"/>
        </w:rPr>
        <w:t>14.2. If no agreement is reached, all disputes, disagreements or claims arising out of or in connection with this Agreement, including those concerning its existence, validity or termination, shall be referred to the competent court at the Seller's location, unless otherwise agreed by the Parties.</w:t>
      </w:r>
    </w:p>
    <w:p>
      <w:pPr>
        <w:keepNext/>
        <w:spacing w:before="240" w:after="120"/>
        <w:jc w:val="center"/>
      </w:pPr>
      <w:r>
        <w:rPr>
          <w:rFonts w:ascii="Arial" w:hAnsi="Arial" w:cs="Arial" w:eastAsia="Arial"/>
          <w:b/>
          <w:i w:val="0"/>
          <w:color w:val="C9A227"/>
          <w:sz w:val="23"/>
        </w:rPr>
        <w:t>Article 15.</w:t>
      </w:r>
      <w:r>
        <w:rPr>
          <w:rFonts w:ascii="Arial" w:hAnsi="Arial" w:cs="Arial" w:eastAsia="Arial"/>
          <w:b/>
          <w:i w:val="0"/>
          <w:color w:val="0A2547"/>
          <w:sz w:val="23"/>
        </w:rPr>
        <w:t xml:space="preserve"> TERM AND TERMINATION OF THE AGREEMENT</w:t>
      </w:r>
    </w:p>
    <w:p>
      <w:pPr>
        <w:spacing w:before="0" w:after="60"/>
        <w:ind w:firstLine="510"/>
        <w:jc w:val="both"/>
      </w:pPr>
      <w:r>
        <w:rPr>
          <w:rFonts w:ascii="Times New Roman" w:hAnsi="Times New Roman" w:cs="Times New Roman" w:eastAsia="Times New Roman"/>
          <w:b w:val="0"/>
          <w:i w:val="0"/>
          <w:sz w:val="22"/>
        </w:rPr>
        <w:t>15.1. This Agreement enters into force upon signing and remains in effect until 31 December 20__, and, with respect to settlements, until they are completed in full.</w:t>
      </w:r>
    </w:p>
    <w:p>
      <w:pPr>
        <w:spacing w:before="0" w:after="60"/>
        <w:ind w:firstLine="510"/>
        <w:jc w:val="both"/>
      </w:pPr>
      <w:r>
        <w:rPr>
          <w:rFonts w:ascii="Times New Roman" w:hAnsi="Times New Roman" w:cs="Times New Roman" w:eastAsia="Times New Roman"/>
          <w:b w:val="0"/>
          <w:i w:val="0"/>
          <w:sz w:val="22"/>
        </w:rPr>
        <w:t>15.2. This Agreement may be extended by mutual written consent of the Parties, executed no later than 15 (fifteen) calendar days before the intended extension date, for a period of up to 6 (six) months.</w:t>
      </w:r>
    </w:p>
    <w:p>
      <w:pPr>
        <w:spacing w:before="0" w:after="60"/>
        <w:ind w:firstLine="510"/>
        <w:jc w:val="both"/>
      </w:pPr>
      <w:r>
        <w:rPr>
          <w:rFonts w:ascii="Times New Roman" w:hAnsi="Times New Roman" w:cs="Times New Roman" w:eastAsia="Times New Roman"/>
          <w:b w:val="0"/>
          <w:i w:val="0"/>
          <w:sz w:val="22"/>
        </w:rPr>
        <w:t>15.3. This Agreement may be terminated early by mutual consent of the Parties.</w:t>
      </w:r>
    </w:p>
    <w:p>
      <w:pPr>
        <w:spacing w:before="0" w:after="60"/>
        <w:ind w:firstLine="510"/>
        <w:jc w:val="both"/>
      </w:pPr>
      <w:r>
        <w:rPr>
          <w:rFonts w:ascii="Times New Roman" w:hAnsi="Times New Roman" w:cs="Times New Roman" w:eastAsia="Times New Roman"/>
          <w:b w:val="0"/>
          <w:i w:val="0"/>
          <w:sz w:val="22"/>
        </w:rPr>
        <w:t>15.4. Unilateral termination of this Agreement is possible upon written notice given by one Party to the other Party 15 (fifteen) calendar days before the intended termination date — in the cases provided for by Article 404 of the Civil Code of the Republic of Kazakhstan.</w:t>
      </w:r>
    </w:p>
    <w:p>
      <w:pPr>
        <w:spacing w:before="0" w:after="60"/>
        <w:ind w:firstLine="510"/>
        <w:jc w:val="both"/>
      </w:pPr>
      <w:r>
        <w:rPr>
          <w:rFonts w:ascii="Times New Roman" w:hAnsi="Times New Roman" w:cs="Times New Roman" w:eastAsia="Times New Roman"/>
          <w:b w:val="0"/>
          <w:i w:val="0"/>
          <w:sz w:val="22"/>
        </w:rPr>
        <w:t>15.5. In the event of early termination of this Agreement the Parties shall complete mutual settlements within 5 (five) banking days after termination.</w:t>
      </w:r>
    </w:p>
    <w:p>
      <w:pPr>
        <w:keepNext/>
        <w:spacing w:before="240" w:after="120"/>
        <w:jc w:val="center"/>
      </w:pPr>
      <w:r>
        <w:rPr>
          <w:rFonts w:ascii="Arial" w:hAnsi="Arial" w:cs="Arial" w:eastAsia="Arial"/>
          <w:b/>
          <w:i w:val="0"/>
          <w:color w:val="C9A227"/>
          <w:sz w:val="23"/>
        </w:rPr>
        <w:t>Article 16.</w:t>
      </w:r>
      <w:r>
        <w:rPr>
          <w:rFonts w:ascii="Arial" w:hAnsi="Arial" w:cs="Arial" w:eastAsia="Arial"/>
          <w:b/>
          <w:i w:val="0"/>
          <w:color w:val="0A2547"/>
          <w:sz w:val="23"/>
        </w:rPr>
        <w:t xml:space="preserve"> AMENDMENTS TO THE AGREEMENT</w:t>
      </w:r>
    </w:p>
    <w:p>
      <w:pPr>
        <w:spacing w:before="0" w:after="60"/>
        <w:ind w:firstLine="510"/>
        <w:jc w:val="both"/>
      </w:pPr>
      <w:r>
        <w:rPr>
          <w:rFonts w:ascii="Times New Roman" w:hAnsi="Times New Roman" w:cs="Times New Roman" w:eastAsia="Times New Roman"/>
          <w:b w:val="0"/>
          <w:i w:val="0"/>
          <w:sz w:val="22"/>
        </w:rPr>
        <w:t>16.1. This Agreement constitutes the entire and final agreement of the Parties, and no other terms and conditions apply to this Agreement unless agreed by the Parties in writing.</w:t>
      </w:r>
    </w:p>
    <w:p>
      <w:pPr>
        <w:spacing w:before="0" w:after="60"/>
        <w:ind w:firstLine="510"/>
        <w:jc w:val="both"/>
      </w:pPr>
      <w:r>
        <w:rPr>
          <w:rFonts w:ascii="Times New Roman" w:hAnsi="Times New Roman" w:cs="Times New Roman" w:eastAsia="Times New Roman"/>
          <w:b w:val="0"/>
          <w:i w:val="0"/>
          <w:sz w:val="22"/>
        </w:rPr>
        <w:t>16.2. No additions or amendments to this Agreement are valid unless made in writing and signed by the authorised representatives of the Parties.</w:t>
      </w:r>
    </w:p>
    <w:p>
      <w:pPr>
        <w:keepNext/>
        <w:spacing w:before="240" w:after="120"/>
        <w:jc w:val="center"/>
      </w:pPr>
      <w:r>
        <w:rPr>
          <w:rFonts w:ascii="Arial" w:hAnsi="Arial" w:cs="Arial" w:eastAsia="Arial"/>
          <w:b/>
          <w:i w:val="0"/>
          <w:color w:val="C9A227"/>
          <w:sz w:val="23"/>
        </w:rPr>
        <w:t>Article 17.</w:t>
      </w:r>
      <w:r>
        <w:rPr>
          <w:rFonts w:ascii="Arial" w:hAnsi="Arial" w:cs="Arial" w:eastAsia="Arial"/>
          <w:b/>
          <w:i w:val="0"/>
          <w:color w:val="0A2547"/>
          <w:sz w:val="23"/>
        </w:rPr>
        <w:t xml:space="preserve"> FINAL PROVISIONS</w:t>
      </w:r>
    </w:p>
    <w:p>
      <w:pPr>
        <w:spacing w:before="0" w:after="60"/>
        <w:ind w:firstLine="510"/>
        <w:jc w:val="both"/>
      </w:pPr>
      <w:r>
        <w:rPr>
          <w:rFonts w:ascii="Times New Roman" w:hAnsi="Times New Roman" w:cs="Times New Roman" w:eastAsia="Times New Roman"/>
          <w:b w:val="0"/>
          <w:i w:val="0"/>
          <w:sz w:val="22"/>
        </w:rPr>
        <w:t>17.1. Each Party warrants that neither the Party itself nor any of its directors, officers, employees or agents will make, offer or authorise, in relation to the matters that are the subject of this Agreement, any payment, gift, promise or other advantage, directly or through any individual or legal entity, to, for the use of, or for the benefit of: (a) a public official; (b) any political party, any official of a political party or any candidate for political office; (c) any other third party — where such payment, gift, promise or advantage would violate the applicable law, including the laws of the Republic of Kazakhstan.</w:t>
      </w:r>
    </w:p>
    <w:p>
      <w:pPr>
        <w:spacing w:before="0" w:after="60"/>
        <w:ind w:firstLine="510"/>
        <w:jc w:val="both"/>
      </w:pPr>
      <w:r>
        <w:rPr>
          <w:rFonts w:ascii="Times New Roman" w:hAnsi="Times New Roman" w:cs="Times New Roman" w:eastAsia="Times New Roman"/>
          <w:b w:val="0"/>
          <w:i w:val="0"/>
          <w:sz w:val="22"/>
        </w:rPr>
        <w:t>17.2. Upon signing of this Agreement, all prior negotiations, correspondence, preliminary agreements and letters of intent relating in any way to this Agreement cease to have legal effect.</w:t>
      </w:r>
    </w:p>
    <w:p>
      <w:pPr>
        <w:spacing w:before="0" w:after="60"/>
        <w:ind w:firstLine="510"/>
        <w:jc w:val="both"/>
      </w:pPr>
      <w:r>
        <w:rPr>
          <w:rFonts w:ascii="Times New Roman" w:hAnsi="Times New Roman" w:cs="Times New Roman" w:eastAsia="Times New Roman"/>
          <w:b w:val="0"/>
          <w:i w:val="0"/>
          <w:sz w:val="22"/>
        </w:rPr>
        <w:t>17.3. Neither Party may assign its rights and obligations under this Agreement to third parties, other than to the Parties' legal successors, without the prior written consent of the other Party.</w:t>
      </w:r>
    </w:p>
    <w:p>
      <w:pPr>
        <w:spacing w:before="0" w:after="60"/>
        <w:ind w:firstLine="510"/>
        <w:jc w:val="both"/>
      </w:pPr>
      <w:r>
        <w:rPr>
          <w:rFonts w:ascii="Times New Roman" w:hAnsi="Times New Roman" w:cs="Times New Roman" w:eastAsia="Times New Roman"/>
          <w:b w:val="0"/>
          <w:i w:val="0"/>
          <w:sz w:val="22"/>
        </w:rPr>
        <w:t>17.4. In the event of a change of bank details or registered addresses, the Parties shall notify each other no later than 5 (five) banking days from the date of the change.</w:t>
      </w:r>
    </w:p>
    <w:p>
      <w:pPr>
        <w:spacing w:before="0" w:after="60"/>
        <w:ind w:firstLine="510"/>
        <w:jc w:val="both"/>
      </w:pPr>
      <w:r>
        <w:rPr>
          <w:rFonts w:ascii="Times New Roman" w:hAnsi="Times New Roman" w:cs="Times New Roman" w:eastAsia="Times New Roman"/>
          <w:b w:val="0"/>
          <w:i w:val="0"/>
          <w:sz w:val="22"/>
        </w:rPr>
        <w:t>17.5. This Agreement is executed in two counterparts of equal legal force, one for each Party. The Agreement may be executed in the Russian and English languages; in the event of any discrepancy between the versions, the Russian version shall prevail.</w:t>
      </w:r>
    </w:p>
    <w:p>
      <w:pPr>
        <w:keepNext/>
        <w:spacing w:before="240" w:after="120"/>
        <w:jc w:val="center"/>
      </w:pPr>
      <w:r>
        <w:rPr>
          <w:rFonts w:ascii="Arial" w:hAnsi="Arial" w:cs="Arial" w:eastAsia="Arial"/>
          <w:b/>
          <w:i w:val="0"/>
          <w:color w:val="C9A227"/>
          <w:sz w:val="23"/>
        </w:rPr>
        <w:t>Article 18.</w:t>
      </w:r>
      <w:r>
        <w:rPr>
          <w:rFonts w:ascii="Arial" w:hAnsi="Arial" w:cs="Arial" w:eastAsia="Arial"/>
          <w:b/>
          <w:i w:val="0"/>
          <w:color w:val="0A2547"/>
          <w:sz w:val="23"/>
        </w:rPr>
        <w:t xml:space="preserve"> ADDRESSES AND DETAILS OF THE PARTIES</w:t>
      </w:r>
    </w:p>
    <w:p>
      <w:pPr>
        <w:spacing w:before="120" w:after="160"/>
        <w:ind w:left="142"/>
        <w:jc w:val="both"/>
        <w:shd w:val="clear" w:fill="FBF7EC"/>
        <w:pBdr>
          <w:left w:val="single" w:sz="18" w:space="4" w:color="C9A227"/>
        </w:pBdr>
      </w:pPr>
      <w:r>
        <w:rPr>
          <w:rFonts w:ascii="Arial" w:hAnsi="Arial" w:cs="Arial" w:eastAsia="Arial"/>
          <w:b/>
          <w:i w:val="0"/>
          <w:color w:val="0A2547"/>
          <w:sz w:val="19"/>
        </w:rPr>
        <w:t xml:space="preserve">Note. </w:t>
      </w:r>
      <w:r>
        <w:rPr>
          <w:rFonts w:ascii="Times New Roman" w:hAnsi="Times New Roman" w:cs="Times New Roman" w:eastAsia="Times New Roman"/>
          <w:b w:val="0"/>
          <w:i/>
          <w:color w:val="5A6572"/>
          <w:sz w:val="20"/>
        </w:rPr>
        <w:t>The Seller's details are specified upon execution of the Agreement, depending on the jurisdiction of the supplying entity (a Kazakhstan legal entity or a member of the United Energy Group) and the country of delivery. Contact details: office@caspian-oil.com, tel. 8 800 005 00 43 (Kazakhstan).</w:t>
      </w:r>
    </w:p>
    <w:tbl>
      <w:tblPr>
        <w:tblW w:type="auto" w:w="0"/>
        <w:jc w:val="center"/>
        <w:tblLook w:firstColumn="1" w:firstRow="1" w:lastColumn="0" w:lastRow="0" w:noHBand="0" w:noVBand="1" w:val="04A0"/>
        <w:tblBorders>
          <w:top w:val="single" w:sz="4" w:space="0" w:color="C9D3E0"/>
          <w:left w:val="single" w:sz="4" w:space="0" w:color="C9D3E0"/>
          <w:bottom w:val="single" w:sz="4" w:space="0" w:color="C9D3E0"/>
          <w:right w:val="single" w:sz="4" w:space="0" w:color="C9D3E0"/>
          <w:insideH w:val="single" w:sz="4" w:space="0" w:color="C9D3E0"/>
          <w:insideV w:val="single" w:sz="4" w:space="0" w:color="C9D3E0"/>
        </w:tblBorders>
        <w:tblLayout w:type="fixed"/>
        <w:tblCellMar>
          <w:top w:w="60" w:type="dxa"/>
          <w:left w:w="110" w:type="dxa"/>
          <w:bottom w:w="60" w:type="dxa"/>
          <w:right w:w="110" w:type="dxa"/>
        </w:tblCellMar>
        <w:tblLayout w:type="fixed"/>
      </w:tblPr>
      <w:tblGrid>
        <w:gridCol w:w="4791"/>
        <w:gridCol w:w="4791"/>
      </w:tblGrid>
      <w:tr>
        <w:tc>
          <w:tcPr>
            <w:tcW w:type="dxa" w:w="4791"/>
            <w:shd w:val="clear" w:fill="0A2547"/>
            <w:vAlign w:val="center"/>
          </w:tcPr>
          <w:p>
            <w:pPr>
              <w:jc w:val="center"/>
            </w:pPr>
            <w:r>
              <w:rPr>
                <w:rFonts w:ascii="Arial" w:hAnsi="Arial" w:cs="Arial" w:eastAsia="Arial"/>
                <w:b/>
                <w:i w:val="0"/>
                <w:color w:val="FFFFFF"/>
                <w:sz w:val="20"/>
              </w:rPr>
              <w:t>SELLER</w:t>
            </w:r>
          </w:p>
        </w:tc>
        <w:tc>
          <w:tcPr>
            <w:tcW w:type="dxa" w:w="4791"/>
            <w:shd w:val="clear" w:fill="0A2547"/>
            <w:vAlign w:val="center"/>
          </w:tcPr>
          <w:p>
            <w:pPr>
              <w:jc w:val="center"/>
            </w:pPr>
            <w:r>
              <w:rPr>
                <w:rFonts w:ascii="Arial" w:hAnsi="Arial" w:cs="Arial" w:eastAsia="Arial"/>
                <w:b/>
                <w:i w:val="0"/>
                <w:color w:val="FFFFFF"/>
                <w:sz w:val="20"/>
              </w:rPr>
              <w:t>BUYER</w:t>
            </w:r>
          </w:p>
        </w:tc>
      </w:tr>
      <w:tr>
        <w:tc>
          <w:tcPr>
            <w:tcW w:type="dxa" w:w="4791"/>
            <w:vAlign w:val="center"/>
          </w:tcPr>
          <w:p>
            <w:pPr>
              <w:jc w:val="left"/>
            </w:pPr>
            <w:r>
              <w:rPr>
                <w:rFonts w:ascii="Times New Roman" w:hAnsi="Times New Roman" w:cs="Times New Roman" w:eastAsia="Times New Roman"/>
                <w:b w:val="0"/>
                <w:i w:val="0"/>
                <w:sz w:val="20"/>
              </w:rPr>
              <w:t>Name: ______________________________</w:t>
            </w:r>
          </w:p>
        </w:tc>
        <w:tc>
          <w:tcPr>
            <w:tcW w:type="dxa" w:w="4791"/>
            <w:vAlign w:val="center"/>
          </w:tcPr>
          <w:p>
            <w:pPr>
              <w:jc w:val="left"/>
            </w:pPr>
            <w:r>
              <w:rPr>
                <w:rFonts w:ascii="Times New Roman" w:hAnsi="Times New Roman" w:cs="Times New Roman" w:eastAsia="Times New Roman"/>
                <w:b w:val="0"/>
                <w:i w:val="0"/>
                <w:sz w:val="20"/>
              </w:rPr>
              <w:t>Name: ______________________________</w:t>
            </w:r>
          </w:p>
        </w:tc>
      </w:tr>
      <w:tr>
        <w:tc>
          <w:tcPr>
            <w:tcW w:type="dxa" w:w="4791"/>
            <w:shd w:val="clear" w:fill="F4F7FB"/>
            <w:vAlign w:val="center"/>
          </w:tcPr>
          <w:p>
            <w:pPr>
              <w:jc w:val="left"/>
            </w:pPr>
            <w:r>
              <w:rPr>
                <w:rFonts w:ascii="Times New Roman" w:hAnsi="Times New Roman" w:cs="Times New Roman" w:eastAsia="Times New Roman"/>
                <w:b w:val="0"/>
                <w:i w:val="0"/>
                <w:sz w:val="20"/>
              </w:rPr>
              <w:t>Country of registration: ______________________________</w:t>
            </w:r>
          </w:p>
        </w:tc>
        <w:tc>
          <w:tcPr>
            <w:tcW w:type="dxa" w:w="4791"/>
            <w:shd w:val="clear" w:fill="F4F7FB"/>
            <w:vAlign w:val="center"/>
          </w:tcPr>
          <w:p>
            <w:pPr>
              <w:jc w:val="left"/>
            </w:pPr>
            <w:r>
              <w:rPr>
                <w:rFonts w:ascii="Times New Roman" w:hAnsi="Times New Roman" w:cs="Times New Roman" w:eastAsia="Times New Roman"/>
                <w:b w:val="0"/>
                <w:i w:val="0"/>
                <w:sz w:val="20"/>
              </w:rPr>
              <w:t>Country of registration: ______________________________</w:t>
            </w:r>
          </w:p>
        </w:tc>
      </w:tr>
      <w:tr>
        <w:tc>
          <w:tcPr>
            <w:tcW w:type="dxa" w:w="4791"/>
            <w:vAlign w:val="center"/>
          </w:tcPr>
          <w:p>
            <w:pPr>
              <w:jc w:val="left"/>
            </w:pPr>
            <w:r>
              <w:rPr>
                <w:rFonts w:ascii="Times New Roman" w:hAnsi="Times New Roman" w:cs="Times New Roman" w:eastAsia="Times New Roman"/>
                <w:b w:val="0"/>
                <w:i w:val="0"/>
                <w:sz w:val="20"/>
              </w:rPr>
              <w:t>Registration number (BIN / reg. No.): ______________________________</w:t>
            </w:r>
          </w:p>
        </w:tc>
        <w:tc>
          <w:tcPr>
            <w:tcW w:type="dxa" w:w="4791"/>
            <w:vAlign w:val="center"/>
          </w:tcPr>
          <w:p>
            <w:pPr>
              <w:jc w:val="left"/>
            </w:pPr>
            <w:r>
              <w:rPr>
                <w:rFonts w:ascii="Times New Roman" w:hAnsi="Times New Roman" w:cs="Times New Roman" w:eastAsia="Times New Roman"/>
                <w:b w:val="0"/>
                <w:i w:val="0"/>
                <w:sz w:val="20"/>
              </w:rPr>
              <w:t>Registration number (BIN / reg. No.): ______________________________</w:t>
            </w:r>
          </w:p>
        </w:tc>
      </w:tr>
      <w:tr>
        <w:tc>
          <w:tcPr>
            <w:tcW w:type="dxa" w:w="4791"/>
            <w:shd w:val="clear" w:fill="F4F7FB"/>
            <w:vAlign w:val="center"/>
          </w:tcPr>
          <w:p>
            <w:pPr>
              <w:jc w:val="left"/>
            </w:pPr>
            <w:r>
              <w:rPr>
                <w:rFonts w:ascii="Times New Roman" w:hAnsi="Times New Roman" w:cs="Times New Roman" w:eastAsia="Times New Roman"/>
                <w:b w:val="0"/>
                <w:i w:val="0"/>
                <w:sz w:val="20"/>
              </w:rPr>
              <w:t>Registered address: ______________________________</w:t>
            </w:r>
          </w:p>
        </w:tc>
        <w:tc>
          <w:tcPr>
            <w:tcW w:type="dxa" w:w="4791"/>
            <w:shd w:val="clear" w:fill="F4F7FB"/>
            <w:vAlign w:val="center"/>
          </w:tcPr>
          <w:p>
            <w:pPr>
              <w:jc w:val="left"/>
            </w:pPr>
            <w:r>
              <w:rPr>
                <w:rFonts w:ascii="Times New Roman" w:hAnsi="Times New Roman" w:cs="Times New Roman" w:eastAsia="Times New Roman"/>
                <w:b w:val="0"/>
                <w:i w:val="0"/>
                <w:sz w:val="20"/>
              </w:rPr>
              <w:t>Registered address: ______________________________</w:t>
            </w:r>
          </w:p>
        </w:tc>
      </w:tr>
      <w:tr>
        <w:tc>
          <w:tcPr>
            <w:tcW w:type="dxa" w:w="4791"/>
            <w:vAlign w:val="center"/>
          </w:tcPr>
          <w:p>
            <w:pPr>
              <w:jc w:val="left"/>
            </w:pPr>
            <w:r>
              <w:rPr>
                <w:rFonts w:ascii="Times New Roman" w:hAnsi="Times New Roman" w:cs="Times New Roman" w:eastAsia="Times New Roman"/>
                <w:b w:val="0"/>
                <w:i w:val="0"/>
                <w:sz w:val="20"/>
              </w:rPr>
              <w:t>Bank: ______________________________</w:t>
            </w:r>
          </w:p>
        </w:tc>
        <w:tc>
          <w:tcPr>
            <w:tcW w:type="dxa" w:w="4791"/>
            <w:vAlign w:val="center"/>
          </w:tcPr>
          <w:p>
            <w:pPr>
              <w:jc w:val="left"/>
            </w:pPr>
            <w:r>
              <w:rPr>
                <w:rFonts w:ascii="Times New Roman" w:hAnsi="Times New Roman" w:cs="Times New Roman" w:eastAsia="Times New Roman"/>
                <w:b w:val="0"/>
                <w:i w:val="0"/>
                <w:sz w:val="20"/>
              </w:rPr>
              <w:t>Bank: ______________________________</w:t>
            </w:r>
          </w:p>
        </w:tc>
      </w:tr>
      <w:tr>
        <w:tc>
          <w:tcPr>
            <w:tcW w:type="dxa" w:w="4791"/>
            <w:shd w:val="clear" w:fill="F4F7FB"/>
            <w:vAlign w:val="center"/>
          </w:tcPr>
          <w:p>
            <w:pPr>
              <w:jc w:val="left"/>
            </w:pPr>
            <w:r>
              <w:rPr>
                <w:rFonts w:ascii="Times New Roman" w:hAnsi="Times New Roman" w:cs="Times New Roman" w:eastAsia="Times New Roman"/>
                <w:b w:val="0"/>
                <w:i w:val="0"/>
                <w:sz w:val="20"/>
              </w:rPr>
              <w:t>Account (IBAN): ______________________________</w:t>
            </w:r>
          </w:p>
        </w:tc>
        <w:tc>
          <w:tcPr>
            <w:tcW w:type="dxa" w:w="4791"/>
            <w:shd w:val="clear" w:fill="F4F7FB"/>
            <w:vAlign w:val="center"/>
          </w:tcPr>
          <w:p>
            <w:pPr>
              <w:jc w:val="left"/>
            </w:pPr>
            <w:r>
              <w:rPr>
                <w:rFonts w:ascii="Times New Roman" w:hAnsi="Times New Roman" w:cs="Times New Roman" w:eastAsia="Times New Roman"/>
                <w:b w:val="0"/>
                <w:i w:val="0"/>
                <w:sz w:val="20"/>
              </w:rPr>
              <w:t>Account (IBAN): ______________________________</w:t>
            </w:r>
          </w:p>
        </w:tc>
      </w:tr>
      <w:tr>
        <w:tc>
          <w:tcPr>
            <w:tcW w:type="dxa" w:w="4791"/>
            <w:vAlign w:val="center"/>
          </w:tcPr>
          <w:p>
            <w:pPr>
              <w:jc w:val="left"/>
            </w:pPr>
            <w:r>
              <w:rPr>
                <w:rFonts w:ascii="Times New Roman" w:hAnsi="Times New Roman" w:cs="Times New Roman" w:eastAsia="Times New Roman"/>
                <w:b w:val="0"/>
                <w:i w:val="0"/>
                <w:sz w:val="20"/>
              </w:rPr>
              <w:t>BIC / SWIFT: ______________________________</w:t>
            </w:r>
          </w:p>
        </w:tc>
        <w:tc>
          <w:tcPr>
            <w:tcW w:type="dxa" w:w="4791"/>
            <w:vAlign w:val="center"/>
          </w:tcPr>
          <w:p>
            <w:pPr>
              <w:jc w:val="left"/>
            </w:pPr>
            <w:r>
              <w:rPr>
                <w:rFonts w:ascii="Times New Roman" w:hAnsi="Times New Roman" w:cs="Times New Roman" w:eastAsia="Times New Roman"/>
                <w:b w:val="0"/>
                <w:i w:val="0"/>
                <w:sz w:val="20"/>
              </w:rPr>
              <w:t>BIC / SWIFT: ______________________________</w:t>
            </w:r>
          </w:p>
        </w:tc>
      </w:tr>
      <w:tr>
        <w:tc>
          <w:tcPr>
            <w:tcW w:type="dxa" w:w="4791"/>
            <w:shd w:val="clear" w:fill="F4F7FB"/>
            <w:vAlign w:val="center"/>
          </w:tcPr>
          <w:p>
            <w:pPr>
              <w:jc w:val="left"/>
            </w:pPr>
            <w:r>
              <w:rPr>
                <w:rFonts w:ascii="Times New Roman" w:hAnsi="Times New Roman" w:cs="Times New Roman" w:eastAsia="Times New Roman"/>
                <w:b w:val="0"/>
                <w:i w:val="0"/>
                <w:sz w:val="20"/>
              </w:rPr>
              <w:t>Phone: ______________________________</w:t>
            </w:r>
          </w:p>
        </w:tc>
        <w:tc>
          <w:tcPr>
            <w:tcW w:type="dxa" w:w="4791"/>
            <w:shd w:val="clear" w:fill="F4F7FB"/>
            <w:vAlign w:val="center"/>
          </w:tcPr>
          <w:p>
            <w:pPr>
              <w:jc w:val="left"/>
            </w:pPr>
            <w:r>
              <w:rPr>
                <w:rFonts w:ascii="Times New Roman" w:hAnsi="Times New Roman" w:cs="Times New Roman" w:eastAsia="Times New Roman"/>
                <w:b w:val="0"/>
                <w:i w:val="0"/>
                <w:sz w:val="20"/>
              </w:rPr>
              <w:t>Phone: ______________________________</w:t>
            </w:r>
          </w:p>
        </w:tc>
      </w:tr>
      <w:tr>
        <w:tc>
          <w:tcPr>
            <w:tcW w:type="dxa" w:w="4791"/>
            <w:vAlign w:val="center"/>
          </w:tcPr>
          <w:p>
            <w:pPr>
              <w:jc w:val="left"/>
            </w:pPr>
            <w:r>
              <w:rPr>
                <w:rFonts w:ascii="Times New Roman" w:hAnsi="Times New Roman" w:cs="Times New Roman" w:eastAsia="Times New Roman"/>
                <w:b w:val="0"/>
                <w:i w:val="0"/>
                <w:sz w:val="20"/>
              </w:rPr>
              <w:t>E-mail: ______________________________</w:t>
            </w:r>
          </w:p>
        </w:tc>
        <w:tc>
          <w:tcPr>
            <w:tcW w:type="dxa" w:w="4791"/>
            <w:vAlign w:val="center"/>
          </w:tcPr>
          <w:p>
            <w:pPr>
              <w:jc w:val="left"/>
            </w:pPr>
            <w:r>
              <w:rPr>
                <w:rFonts w:ascii="Times New Roman" w:hAnsi="Times New Roman" w:cs="Times New Roman" w:eastAsia="Times New Roman"/>
                <w:b w:val="0"/>
                <w:i w:val="0"/>
                <w:sz w:val="20"/>
              </w:rPr>
              <w:t>E-mail: ______________________________</w:t>
            </w:r>
          </w:p>
        </w:tc>
      </w:tr>
    </w:tbl>
    <w:p>
      <w:pPr>
        <w:spacing w:before="200" w:after="80"/>
        <w:jc w:val="both"/>
      </w:pPr>
      <w:r>
        <w:rPr>
          <w:rFonts w:ascii="Times New Roman" w:hAnsi="Times New Roman" w:cs="Times New Roman" w:eastAsia="Times New Roman"/>
          <w:b/>
          <w:i w:val="0"/>
          <w:sz w:val="22"/>
        </w:rPr>
        <w:t>Railway consignor details (for shipment from the oil refinery in Aktau):</w:t>
      </w:r>
    </w:p>
    <w:tbl>
      <w:tblPr>
        <w:tblW w:type="auto" w:w="0"/>
        <w:jc w:val="center"/>
        <w:tblLook w:firstColumn="1" w:firstRow="1" w:lastColumn="0" w:lastRow="0" w:noHBand="0" w:noVBand="1" w:val="04A0"/>
        <w:tblBorders>
          <w:top w:val="single" w:sz="4" w:space="0" w:color="C9D3E0"/>
          <w:left w:val="single" w:sz="4" w:space="0" w:color="C9D3E0"/>
          <w:bottom w:val="single" w:sz="4" w:space="0" w:color="C9D3E0"/>
          <w:right w:val="single" w:sz="4" w:space="0" w:color="C9D3E0"/>
          <w:insideH w:val="single" w:sz="4" w:space="0" w:color="C9D3E0"/>
          <w:insideV w:val="single" w:sz="4" w:space="0" w:color="C9D3E0"/>
        </w:tblBorders>
        <w:tblLayout w:type="fixed"/>
        <w:tblCellMar>
          <w:top w:w="60" w:type="dxa"/>
          <w:left w:w="110" w:type="dxa"/>
          <w:bottom w:w="60" w:type="dxa"/>
          <w:right w:w="110" w:type="dxa"/>
        </w:tblCellMar>
        <w:tblLayout w:type="fixed"/>
      </w:tblPr>
      <w:tblGrid>
        <w:gridCol w:w="4791"/>
        <w:gridCol w:w="4791"/>
      </w:tblGrid>
      <w:tr>
        <w:tc>
          <w:tcPr>
            <w:tcW w:type="dxa" w:w="4791"/>
            <w:vAlign w:val="center"/>
          </w:tcPr>
          <w:p>
            <w:pPr>
              <w:jc w:val="left"/>
            </w:pPr>
            <w:r>
              <w:rPr>
                <w:rFonts w:ascii="Times New Roman" w:hAnsi="Times New Roman" w:cs="Times New Roman" w:eastAsia="Times New Roman"/>
                <w:b w:val="0"/>
                <w:i w:val="0"/>
                <w:sz w:val="20"/>
              </w:rPr>
              <w:t>Departure station</w:t>
            </w:r>
          </w:p>
        </w:tc>
        <w:tc>
          <w:tcPr>
            <w:tcW w:type="dxa" w:w="4791"/>
            <w:vAlign w:val="center"/>
          </w:tcPr>
          <w:p>
            <w:pPr>
              <w:jc w:val="left"/>
            </w:pPr>
            <w:r>
              <w:rPr>
                <w:rFonts w:ascii="Times New Roman" w:hAnsi="Times New Roman" w:cs="Times New Roman" w:eastAsia="Times New Roman"/>
                <w:b w:val="0"/>
                <w:i w:val="0"/>
                <w:sz w:val="20"/>
              </w:rPr>
              <w:t>Mangistau</w:t>
            </w:r>
          </w:p>
        </w:tc>
      </w:tr>
      <w:tr>
        <w:tc>
          <w:tcPr>
            <w:tcW w:type="dxa" w:w="4791"/>
            <w:shd w:val="clear" w:fill="F4F7FB"/>
            <w:vAlign w:val="center"/>
          </w:tcPr>
          <w:p>
            <w:pPr>
              <w:jc w:val="left"/>
            </w:pPr>
            <w:r>
              <w:rPr>
                <w:rFonts w:ascii="Times New Roman" w:hAnsi="Times New Roman" w:cs="Times New Roman" w:eastAsia="Times New Roman"/>
                <w:b w:val="0"/>
                <w:i w:val="0"/>
                <w:sz w:val="20"/>
              </w:rPr>
              <w:t>Railway</w:t>
            </w:r>
          </w:p>
        </w:tc>
        <w:tc>
          <w:tcPr>
            <w:tcW w:type="dxa" w:w="4791"/>
            <w:shd w:val="clear" w:fill="F4F7FB"/>
            <w:vAlign w:val="center"/>
          </w:tcPr>
          <w:p>
            <w:pPr>
              <w:jc w:val="left"/>
            </w:pPr>
            <w:r>
              <w:rPr>
                <w:rFonts w:ascii="Times New Roman" w:hAnsi="Times New Roman" w:cs="Times New Roman" w:eastAsia="Times New Roman"/>
                <w:b w:val="0"/>
                <w:i w:val="0"/>
                <w:sz w:val="20"/>
              </w:rPr>
              <w:t>JSC NC “Kazakhstan Temir Zholy” (KTZ)</w:t>
            </w:r>
          </w:p>
        </w:tc>
      </w:tr>
      <w:tr>
        <w:tc>
          <w:tcPr>
            <w:tcW w:type="dxa" w:w="4791"/>
            <w:vAlign w:val="center"/>
          </w:tcPr>
          <w:p>
            <w:pPr>
              <w:jc w:val="left"/>
            </w:pPr>
            <w:r>
              <w:rPr>
                <w:rFonts w:ascii="Times New Roman" w:hAnsi="Times New Roman" w:cs="Times New Roman" w:eastAsia="Times New Roman"/>
                <w:b w:val="0"/>
                <w:i w:val="0"/>
                <w:sz w:val="20"/>
              </w:rPr>
              <w:t>Station code (ESR)</w:t>
            </w:r>
          </w:p>
        </w:tc>
        <w:tc>
          <w:tcPr>
            <w:tcW w:type="dxa" w:w="4791"/>
            <w:vAlign w:val="center"/>
          </w:tcPr>
          <w:p>
            <w:pPr>
              <w:jc w:val="left"/>
            </w:pPr>
            <w:r>
              <w:rPr>
                <w:rFonts w:ascii="Times New Roman" w:hAnsi="Times New Roman" w:cs="Times New Roman" w:eastAsia="Times New Roman"/>
                <w:b w:val="0"/>
                <w:i w:val="0"/>
                <w:sz w:val="20"/>
              </w:rPr>
              <w:t>663306</w:t>
            </w:r>
          </w:p>
        </w:tc>
      </w:tr>
      <w:tr>
        <w:tc>
          <w:tcPr>
            <w:tcW w:type="dxa" w:w="4791"/>
            <w:shd w:val="clear" w:fill="F4F7FB"/>
            <w:vAlign w:val="center"/>
          </w:tcPr>
          <w:p>
            <w:pPr>
              <w:jc w:val="left"/>
            </w:pPr>
            <w:r>
              <w:rPr>
                <w:rFonts w:ascii="Times New Roman" w:hAnsi="Times New Roman" w:cs="Times New Roman" w:eastAsia="Times New Roman"/>
                <w:b w:val="0"/>
                <w:i w:val="0"/>
                <w:sz w:val="20"/>
              </w:rPr>
              <w:t>Consignor code / OKPO</w:t>
            </w:r>
          </w:p>
        </w:tc>
        <w:tc>
          <w:tcPr>
            <w:tcW w:type="dxa" w:w="4791"/>
            <w:shd w:val="clear" w:fill="F4F7FB"/>
            <w:vAlign w:val="center"/>
          </w:tcPr>
          <w:p>
            <w:pPr>
              <w:jc w:val="left"/>
            </w:pPr>
            <w:r>
              <w:rPr>
                <w:rFonts w:ascii="Times New Roman" w:hAnsi="Times New Roman" w:cs="Times New Roman" w:eastAsia="Times New Roman"/>
                <w:b w:val="0"/>
                <w:i w:val="0"/>
                <w:sz w:val="20"/>
              </w:rPr>
              <w:t>specified in the Annex</w:t>
            </w:r>
          </w:p>
        </w:tc>
      </w:tr>
    </w:tbl>
    <w:p>
      <w:pPr>
        <w:keepNext/>
        <w:spacing w:before="320" w:after="120"/>
        <w:jc w:val="center"/>
      </w:pPr>
      <w:r>
        <w:rPr>
          <w:rFonts w:ascii="Arial" w:hAnsi="Arial" w:cs="Arial" w:eastAsia="Arial"/>
          <w:b/>
          <w:i w:val="0"/>
          <w:color w:val="0A2547"/>
          <w:sz w:val="23"/>
        </w:rPr>
        <w:t>SIGNATURES OF THE PARTIES</w:t>
      </w:r>
    </w:p>
    <w:tbl>
      <w:tblPr>
        <w:tblW w:type="auto" w:w="0"/>
        <w:tblLook w:firstColumn="1" w:firstRow="1" w:lastColumn="0" w:lastRow="0" w:noHBand="0" w:noVBand="1" w:val="04A0"/>
        <w:tblBorders>
          <w:top w:val="none"/>
          <w:left w:val="none"/>
          <w:bottom w:val="none"/>
          <w:right w:val="none"/>
          <w:insideH w:val="none"/>
          <w:insideV w:val="none"/>
        </w:tblBorders>
        <w:tblLayout w:type="fixed"/>
        <w:tblCellMar>
          <w:top w:w="40" w:type="dxa"/>
          <w:left w:w="0" w:type="dxa"/>
          <w:bottom w:w="40" w:type="dxa"/>
          <w:right w:w="110" w:type="dxa"/>
        </w:tblCellMar>
        <w:tblLayout w:type="fixed"/>
      </w:tblPr>
      <w:tblGrid>
        <w:gridCol w:w="4791"/>
        <w:gridCol w:w="4791"/>
      </w:tblGrid>
      <w:tr>
        <w:tc>
          <w:tcPr>
            <w:tcW w:type="dxa" w:w="4791"/>
          </w:tcPr>
          <w:p>
            <w:pPr>
              <w:spacing w:after="160"/>
            </w:pPr>
            <w:r>
              <w:rPr>
                <w:rFonts w:ascii="Arial" w:hAnsi="Arial" w:cs="Arial" w:eastAsia="Arial"/>
                <w:b/>
                <w:i w:val="0"/>
                <w:color w:val="0A2547"/>
                <w:sz w:val="21"/>
              </w:rPr>
              <w:t>For the Seller:</w:t>
            </w:r>
          </w:p>
          <w:p>
            <w:pPr>
              <w:spacing w:after="80"/>
            </w:pPr>
            <w:r>
              <w:rPr>
                <w:rFonts w:ascii="Times New Roman" w:hAnsi="Times New Roman" w:cs="Times New Roman" w:eastAsia="Times New Roman"/>
                <w:b w:val="0"/>
                <w:i w:val="0"/>
                <w:sz w:val="22"/>
              </w:rPr>
              <w:t>________________ / ________________ /</w:t>
            </w:r>
          </w:p>
          <w:p>
            <w:pPr>
              <w:spacing w:after="80"/>
            </w:pPr>
            <w:r>
              <w:rPr>
                <w:rFonts w:ascii="Times New Roman" w:hAnsi="Times New Roman" w:cs="Times New Roman" w:eastAsia="Times New Roman"/>
                <w:b w:val="0"/>
                <w:i w:val="0"/>
                <w:color w:val="5A6572"/>
                <w:sz w:val="18"/>
              </w:rPr>
              <w:t>(signature, full name, position)</w:t>
            </w:r>
          </w:p>
          <w:p>
            <w:pPr>
              <w:spacing w:after="80"/>
            </w:pPr>
            <w:r>
              <w:rPr>
                <w:rFonts w:ascii="Times New Roman" w:hAnsi="Times New Roman" w:cs="Times New Roman" w:eastAsia="Times New Roman"/>
                <w:b w:val="0"/>
                <w:i w:val="0"/>
                <w:sz w:val="22"/>
              </w:rPr>
              <w:t>Seal</w:t>
            </w:r>
          </w:p>
        </w:tc>
        <w:tc>
          <w:tcPr>
            <w:tcW w:type="dxa" w:w="4791"/>
          </w:tcPr>
          <w:p>
            <w:pPr>
              <w:spacing w:after="160"/>
            </w:pPr>
            <w:r>
              <w:rPr>
                <w:rFonts w:ascii="Arial" w:hAnsi="Arial" w:cs="Arial" w:eastAsia="Arial"/>
                <w:b/>
                <w:i w:val="0"/>
                <w:color w:val="0A2547"/>
                <w:sz w:val="21"/>
              </w:rPr>
              <w:t>For the Buyer:</w:t>
            </w:r>
          </w:p>
          <w:p>
            <w:pPr>
              <w:spacing w:after="80"/>
            </w:pPr>
            <w:r>
              <w:rPr>
                <w:rFonts w:ascii="Times New Roman" w:hAnsi="Times New Roman" w:cs="Times New Roman" w:eastAsia="Times New Roman"/>
                <w:b w:val="0"/>
                <w:i w:val="0"/>
                <w:sz w:val="22"/>
              </w:rPr>
              <w:t>________________ / ________________ /</w:t>
            </w:r>
          </w:p>
          <w:p>
            <w:pPr>
              <w:spacing w:after="80"/>
            </w:pPr>
            <w:r>
              <w:rPr>
                <w:rFonts w:ascii="Times New Roman" w:hAnsi="Times New Roman" w:cs="Times New Roman" w:eastAsia="Times New Roman"/>
                <w:b w:val="0"/>
                <w:i w:val="0"/>
                <w:color w:val="5A6572"/>
                <w:sz w:val="18"/>
              </w:rPr>
              <w:t>(signature, full name, position)</w:t>
            </w:r>
          </w:p>
          <w:p>
            <w:pPr>
              <w:spacing w:after="80"/>
            </w:pPr>
            <w:r>
              <w:rPr>
                <w:rFonts w:ascii="Times New Roman" w:hAnsi="Times New Roman" w:cs="Times New Roman" w:eastAsia="Times New Roman"/>
                <w:b w:val="0"/>
                <w:i w:val="0"/>
                <w:sz w:val="22"/>
              </w:rPr>
              <w:t>Seal</w:t>
            </w:r>
          </w:p>
        </w:tc>
      </w:tr>
    </w:tbl>
    <w:p>
      <w:r>
        <w:br w:type="page"/>
      </w:r>
    </w:p>
    <w:p>
      <w:pPr>
        <w:spacing w:after="20"/>
        <w:jc w:val="right"/>
      </w:pPr>
      <w:r>
        <w:rPr>
          <w:rFonts w:ascii="Times New Roman" w:hAnsi="Times New Roman" w:cs="Times New Roman" w:eastAsia="Times New Roman"/>
          <w:b w:val="0"/>
          <w:i/>
          <w:color w:val="5A6572"/>
          <w:sz w:val="21"/>
        </w:rPr>
        <w:t>Annex No. 1</w:t>
      </w:r>
    </w:p>
    <w:p>
      <w:pPr>
        <w:spacing w:after="20"/>
        <w:jc w:val="right"/>
      </w:pPr>
      <w:r>
        <w:rPr>
          <w:rFonts w:ascii="Times New Roman" w:hAnsi="Times New Roman" w:cs="Times New Roman" w:eastAsia="Times New Roman"/>
          <w:b w:val="0"/>
          <w:i/>
          <w:color w:val="5A6572"/>
          <w:sz w:val="21"/>
        </w:rPr>
        <w:t>to the Sale and Purchase Agreement for petroleum products</w:t>
      </w:r>
    </w:p>
    <w:p>
      <w:pPr>
        <w:spacing w:after="20"/>
        <w:jc w:val="right"/>
      </w:pPr>
      <w:r>
        <w:rPr>
          <w:rFonts w:ascii="Times New Roman" w:hAnsi="Times New Roman" w:cs="Times New Roman" w:eastAsia="Times New Roman"/>
          <w:b w:val="0"/>
          <w:i/>
          <w:color w:val="5A6572"/>
          <w:sz w:val="21"/>
        </w:rPr>
        <w:t>No. _______ dated ___ ________________ 20__</w:t>
      </w:r>
    </w:p>
    <w:p>
      <w:pPr>
        <w:spacing w:before="200" w:after="40"/>
        <w:jc w:val="center"/>
      </w:pPr>
      <w:r>
        <w:rPr>
          <w:rFonts w:ascii="Arial" w:hAnsi="Arial" w:cs="Arial" w:eastAsia="Arial"/>
          <w:b/>
          <w:i w:val="0"/>
          <w:color w:val="0A2547"/>
          <w:sz w:val="32"/>
          <w:spacing w:val="36"/>
        </w:rPr>
        <w:t>ANNEX No. 1</w:t>
      </w:r>
    </w:p>
    <w:p>
      <w:pPr>
        <w:spacing w:after="160"/>
        <w:jc w:val="center"/>
      </w:pPr>
      <w:r>
        <w:rPr>
          <w:rFonts w:ascii="Arial" w:hAnsi="Arial" w:cs="Arial" w:eastAsia="Arial"/>
          <w:b/>
          <w:i w:val="0"/>
          <w:color w:val="0A2547"/>
          <w:sz w:val="25"/>
          <w:spacing w:val="16"/>
        </w:rPr>
        <w:t>delivery terms for a consignment of petroleum products</w:t>
      </w:r>
    </w:p>
    <w:p>
      <w:pPr>
        <w:spacing w:before="0" w:after="160"/>
        <w:ind w:firstLine="510"/>
        <w:jc w:val="both"/>
      </w:pPr>
      <w:r>
        <w:rPr>
          <w:rFonts w:ascii="Times New Roman" w:hAnsi="Times New Roman" w:cs="Times New Roman" w:eastAsia="Times New Roman"/>
          <w:b w:val="0"/>
          <w:i w:val="0"/>
          <w:sz w:val="22"/>
        </w:rPr>
        <w:t>________________________________________, hereinafter referred to as the “Seller”, represented by ________________________________, acting on the basis of ______________________, and ________________________________________, hereinafter referred to as the “Buyer”, represented by ________________________________, acting on the basis of ______________________, have signed this Annex as follows:</w:t>
      </w:r>
    </w:p>
    <w:tbl>
      <w:tblPr>
        <w:tblW w:type="auto" w:w="0"/>
        <w:jc w:val="center"/>
        <w:tblLook w:firstColumn="1" w:firstRow="1" w:lastColumn="0" w:lastRow="0" w:noHBand="0" w:noVBand="1" w:val="04A0"/>
        <w:tblBorders>
          <w:top w:val="single" w:sz="4" w:space="0" w:color="C9D3E0"/>
          <w:left w:val="single" w:sz="4" w:space="0" w:color="C9D3E0"/>
          <w:bottom w:val="single" w:sz="4" w:space="0" w:color="C9D3E0"/>
          <w:right w:val="single" w:sz="4" w:space="0" w:color="C9D3E0"/>
          <w:insideH w:val="single" w:sz="4" w:space="0" w:color="C9D3E0"/>
          <w:insideV w:val="single" w:sz="4" w:space="0" w:color="C9D3E0"/>
        </w:tblBorders>
        <w:tblLayout w:type="fixed"/>
        <w:tblCellMar>
          <w:top w:w="60" w:type="dxa"/>
          <w:left w:w="110" w:type="dxa"/>
          <w:bottom w:w="60" w:type="dxa"/>
          <w:right w:w="110" w:type="dxa"/>
        </w:tblCellMar>
        <w:tblLayout w:type="fixed"/>
      </w:tblPr>
      <w:tblGrid>
        <w:gridCol w:w="4082"/>
        <w:gridCol w:w="5499"/>
      </w:tblGrid>
      <w:tr>
        <w:tc>
          <w:tcPr>
            <w:tcW w:type="dxa" w:w="4082"/>
            <w:shd w:val="clear" w:fill="0A2547"/>
            <w:vAlign w:val="center"/>
          </w:tcPr>
          <w:p>
            <w:pPr>
              <w:jc w:val="center"/>
            </w:pPr>
            <w:r>
              <w:rPr>
                <w:rFonts w:ascii="Arial" w:hAnsi="Arial" w:cs="Arial" w:eastAsia="Arial"/>
                <w:b/>
                <w:i w:val="0"/>
                <w:color w:val="FFFFFF"/>
                <w:sz w:val="20"/>
              </w:rPr>
              <w:t>Item</w:t>
            </w:r>
          </w:p>
        </w:tc>
        <w:tc>
          <w:tcPr>
            <w:tcW w:type="dxa" w:w="5499"/>
            <w:shd w:val="clear" w:fill="0A2547"/>
            <w:vAlign w:val="center"/>
          </w:tcPr>
          <w:p>
            <w:pPr>
              <w:jc w:val="center"/>
            </w:pPr>
            <w:r>
              <w:rPr>
                <w:rFonts w:ascii="Arial" w:hAnsi="Arial" w:cs="Arial" w:eastAsia="Arial"/>
                <w:b/>
                <w:i w:val="0"/>
                <w:color w:val="FFFFFF"/>
                <w:sz w:val="20"/>
              </w:rPr>
              <w:t>Value</w:t>
            </w:r>
          </w:p>
        </w:tc>
      </w:tr>
      <w:tr>
        <w:tc>
          <w:tcPr>
            <w:tcW w:type="dxa" w:w="4082"/>
            <w:vAlign w:val="center"/>
          </w:tcPr>
          <w:p>
            <w:pPr>
              <w:jc w:val="left"/>
            </w:pPr>
            <w:r>
              <w:rPr>
                <w:rFonts w:ascii="Times New Roman" w:hAnsi="Times New Roman" w:cs="Times New Roman" w:eastAsia="Times New Roman"/>
                <w:b w:val="0"/>
                <w:i w:val="0"/>
                <w:sz w:val="20"/>
              </w:rPr>
              <w:t>1. Petroleum product</w:t>
            </w:r>
          </w:p>
        </w:tc>
        <w:tc>
          <w:tcPr>
            <w:tcW w:type="dxa" w:w="5499"/>
            <w:vAlign w:val="center"/>
          </w:tcPr>
          <w:p>
            <w:pPr>
              <w:jc w:val="left"/>
            </w:pPr>
            <w:r>
              <w:rPr>
                <w:rFonts w:ascii="Times New Roman" w:hAnsi="Times New Roman" w:cs="Times New Roman" w:eastAsia="Times New Roman"/>
                <w:b w:val="0"/>
                <w:i w:val="0"/>
                <w:sz w:val="20"/>
              </w:rPr>
              <w:t>________________________________</w:t>
            </w:r>
          </w:p>
        </w:tc>
      </w:tr>
      <w:tr>
        <w:tc>
          <w:tcPr>
            <w:tcW w:type="dxa" w:w="4082"/>
            <w:shd w:val="clear" w:fill="F4F7FB"/>
            <w:vAlign w:val="center"/>
          </w:tcPr>
          <w:p>
            <w:pPr>
              <w:jc w:val="left"/>
            </w:pPr>
            <w:r>
              <w:rPr>
                <w:rFonts w:ascii="Times New Roman" w:hAnsi="Times New Roman" w:cs="Times New Roman" w:eastAsia="Times New Roman"/>
                <w:b w:val="0"/>
                <w:i w:val="0"/>
                <w:sz w:val="20"/>
              </w:rPr>
              <w:t>2. Standard (GOST / ST RK)</w:t>
            </w:r>
          </w:p>
        </w:tc>
        <w:tc>
          <w:tcPr>
            <w:tcW w:type="dxa" w:w="5499"/>
            <w:shd w:val="clear" w:fill="F4F7FB"/>
            <w:vAlign w:val="center"/>
          </w:tcPr>
          <w:p>
            <w:pPr>
              <w:jc w:val="left"/>
            </w:pPr>
            <w:r>
              <w:rPr>
                <w:rFonts w:ascii="Times New Roman" w:hAnsi="Times New Roman" w:cs="Times New Roman" w:eastAsia="Times New Roman"/>
                <w:b w:val="0"/>
                <w:i w:val="0"/>
                <w:sz w:val="20"/>
              </w:rPr>
              <w:t>________________________________</w:t>
            </w:r>
          </w:p>
        </w:tc>
      </w:tr>
      <w:tr>
        <w:tc>
          <w:tcPr>
            <w:tcW w:type="dxa" w:w="4082"/>
            <w:vAlign w:val="center"/>
          </w:tcPr>
          <w:p>
            <w:pPr>
              <w:jc w:val="left"/>
            </w:pPr>
            <w:r>
              <w:rPr>
                <w:rFonts w:ascii="Times New Roman" w:hAnsi="Times New Roman" w:cs="Times New Roman" w:eastAsia="Times New Roman"/>
                <w:b w:val="0"/>
                <w:i w:val="0"/>
                <w:sz w:val="20"/>
              </w:rPr>
              <w:t>3. Quantity</w:t>
            </w:r>
          </w:p>
        </w:tc>
        <w:tc>
          <w:tcPr>
            <w:tcW w:type="dxa" w:w="5499"/>
            <w:vAlign w:val="center"/>
          </w:tcPr>
          <w:p>
            <w:pPr>
              <w:jc w:val="left"/>
            </w:pPr>
            <w:r>
              <w:rPr>
                <w:rFonts w:ascii="Times New Roman" w:hAnsi="Times New Roman" w:cs="Times New Roman" w:eastAsia="Times New Roman"/>
                <w:b w:val="0"/>
                <w:i w:val="0"/>
                <w:sz w:val="20"/>
              </w:rPr>
              <w:t>______ (____________________) metric tons</w:t>
            </w:r>
          </w:p>
        </w:tc>
      </w:tr>
      <w:tr>
        <w:tc>
          <w:tcPr>
            <w:tcW w:type="dxa" w:w="4082"/>
            <w:shd w:val="clear" w:fill="F4F7FB"/>
            <w:vAlign w:val="center"/>
          </w:tcPr>
          <w:p>
            <w:pPr>
              <w:jc w:val="left"/>
            </w:pPr>
            <w:r>
              <w:rPr>
                <w:rFonts w:ascii="Times New Roman" w:hAnsi="Times New Roman" w:cs="Times New Roman" w:eastAsia="Times New Roman"/>
                <w:b w:val="0"/>
                <w:i w:val="0"/>
                <w:sz w:val="20"/>
              </w:rPr>
              <w:t>4. Delivery period</w:t>
            </w:r>
          </w:p>
        </w:tc>
        <w:tc>
          <w:tcPr>
            <w:tcW w:type="dxa" w:w="5499"/>
            <w:shd w:val="clear" w:fill="F4F7FB"/>
            <w:vAlign w:val="center"/>
          </w:tcPr>
          <w:p>
            <w:pPr>
              <w:jc w:val="left"/>
            </w:pPr>
            <w:r>
              <w:rPr>
                <w:rFonts w:ascii="Times New Roman" w:hAnsi="Times New Roman" w:cs="Times New Roman" w:eastAsia="Times New Roman"/>
                <w:b w:val="0"/>
                <w:i w:val="0"/>
                <w:sz w:val="20"/>
              </w:rPr>
              <w:t>from ___ __________ to ___ __________ 20__</w:t>
            </w:r>
          </w:p>
        </w:tc>
      </w:tr>
      <w:tr>
        <w:tc>
          <w:tcPr>
            <w:tcW w:type="dxa" w:w="4082"/>
            <w:vAlign w:val="center"/>
          </w:tcPr>
          <w:p>
            <w:pPr>
              <w:jc w:val="left"/>
            </w:pPr>
            <w:r>
              <w:rPr>
                <w:rFonts w:ascii="Times New Roman" w:hAnsi="Times New Roman" w:cs="Times New Roman" w:eastAsia="Times New Roman"/>
                <w:b w:val="0"/>
                <w:i w:val="0"/>
                <w:sz w:val="20"/>
              </w:rPr>
              <w:t>5. Delivery basis</w:t>
            </w:r>
          </w:p>
        </w:tc>
        <w:tc>
          <w:tcPr>
            <w:tcW w:type="dxa" w:w="5499"/>
            <w:vAlign w:val="center"/>
          </w:tcPr>
          <w:p>
            <w:pPr>
              <w:jc w:val="left"/>
            </w:pPr>
            <w:r>
              <w:rPr>
                <w:rFonts w:ascii="Times New Roman" w:hAnsi="Times New Roman" w:cs="Times New Roman" w:eastAsia="Times New Roman"/>
                <w:b w:val="0"/>
                <w:i w:val="0"/>
                <w:sz w:val="20"/>
              </w:rPr>
              <w:t>EXW (ex works, refinery tank), oil refinery of Caspian Oil Industrial Company LLP, Republic of Kazakhstan, Mangistau Region, Aktau, Industrial Zone 5, 65 (Incoterms 2020)</w:t>
            </w:r>
          </w:p>
        </w:tc>
      </w:tr>
      <w:tr>
        <w:tc>
          <w:tcPr>
            <w:tcW w:type="dxa" w:w="4082"/>
            <w:shd w:val="clear" w:fill="F4F7FB"/>
            <w:vAlign w:val="center"/>
          </w:tcPr>
          <w:p>
            <w:pPr>
              <w:jc w:val="left"/>
            </w:pPr>
            <w:r>
              <w:rPr>
                <w:rFonts w:ascii="Times New Roman" w:hAnsi="Times New Roman" w:cs="Times New Roman" w:eastAsia="Times New Roman"/>
                <w:b w:val="0"/>
                <w:i w:val="0"/>
                <w:sz w:val="20"/>
              </w:rPr>
              <w:t>6. Price per metric ton, including VAT</w:t>
            </w:r>
          </w:p>
        </w:tc>
        <w:tc>
          <w:tcPr>
            <w:tcW w:type="dxa" w:w="5499"/>
            <w:shd w:val="clear" w:fill="F4F7FB"/>
            <w:vAlign w:val="center"/>
          </w:tcPr>
          <w:p>
            <w:pPr>
              <w:jc w:val="left"/>
            </w:pPr>
            <w:r>
              <w:rPr>
                <w:rFonts w:ascii="Times New Roman" w:hAnsi="Times New Roman" w:cs="Times New Roman" w:eastAsia="Times New Roman"/>
                <w:b w:val="0"/>
                <w:i w:val="0"/>
                <w:sz w:val="20"/>
              </w:rPr>
              <w:t>________________________</w:t>
            </w:r>
          </w:p>
        </w:tc>
      </w:tr>
      <w:tr>
        <w:tc>
          <w:tcPr>
            <w:tcW w:type="dxa" w:w="4082"/>
            <w:vAlign w:val="center"/>
          </w:tcPr>
          <w:p>
            <w:pPr>
              <w:jc w:val="left"/>
            </w:pPr>
            <w:r>
              <w:rPr>
                <w:rFonts w:ascii="Times New Roman" w:hAnsi="Times New Roman" w:cs="Times New Roman" w:eastAsia="Times New Roman"/>
                <w:b w:val="0"/>
                <w:i w:val="0"/>
                <w:sz w:val="20"/>
              </w:rPr>
              <w:t>7. Total value of the consignment, including VAT</w:t>
            </w:r>
          </w:p>
        </w:tc>
        <w:tc>
          <w:tcPr>
            <w:tcW w:type="dxa" w:w="5499"/>
            <w:vAlign w:val="center"/>
          </w:tcPr>
          <w:p>
            <w:pPr>
              <w:jc w:val="left"/>
            </w:pPr>
            <w:r>
              <w:rPr>
                <w:rFonts w:ascii="Times New Roman" w:hAnsi="Times New Roman" w:cs="Times New Roman" w:eastAsia="Times New Roman"/>
                <w:b w:val="0"/>
                <w:i w:val="0"/>
                <w:sz w:val="20"/>
              </w:rPr>
              <w:t>________________________</w:t>
            </w:r>
          </w:p>
        </w:tc>
      </w:tr>
      <w:tr>
        <w:tc>
          <w:tcPr>
            <w:tcW w:type="dxa" w:w="4082"/>
            <w:shd w:val="clear" w:fill="F4F7FB"/>
            <w:vAlign w:val="center"/>
          </w:tcPr>
          <w:p>
            <w:pPr>
              <w:jc w:val="left"/>
            </w:pPr>
            <w:r>
              <w:rPr>
                <w:rFonts w:ascii="Times New Roman" w:hAnsi="Times New Roman" w:cs="Times New Roman" w:eastAsia="Times New Roman"/>
                <w:b w:val="0"/>
                <w:i w:val="0"/>
                <w:sz w:val="20"/>
              </w:rPr>
              <w:t>8. Payment currency and terms</w:t>
            </w:r>
          </w:p>
        </w:tc>
        <w:tc>
          <w:tcPr>
            <w:tcW w:type="dxa" w:w="5499"/>
            <w:shd w:val="clear" w:fill="F4F7FB"/>
            <w:vAlign w:val="center"/>
          </w:tcPr>
          <w:p>
            <w:pPr>
              <w:jc w:val="left"/>
            </w:pPr>
            <w:r>
              <w:rPr>
                <w:rFonts w:ascii="Times New Roman" w:hAnsi="Times New Roman" w:cs="Times New Roman" w:eastAsia="Times New Roman"/>
                <w:b w:val="0"/>
                <w:i w:val="0"/>
                <w:sz w:val="20"/>
              </w:rPr>
              <w:t>________________; 100% advance payment of the total value of the consignment within 3 (three) banking days from receipt of the invoice (clause 4.6 of the Agreement)</w:t>
            </w:r>
          </w:p>
        </w:tc>
      </w:tr>
      <w:tr>
        <w:tc>
          <w:tcPr>
            <w:tcW w:type="dxa" w:w="4082"/>
            <w:vAlign w:val="center"/>
          </w:tcPr>
          <w:p>
            <w:pPr>
              <w:jc w:val="left"/>
            </w:pPr>
            <w:r>
              <w:rPr>
                <w:rFonts w:ascii="Times New Roman" w:hAnsi="Times New Roman" w:cs="Times New Roman" w:eastAsia="Times New Roman"/>
                <w:b w:val="0"/>
                <w:i w:val="0"/>
                <w:sz w:val="20"/>
              </w:rPr>
              <w:t>9. Purpose of purchase</w:t>
            </w:r>
          </w:p>
        </w:tc>
        <w:tc>
          <w:tcPr>
            <w:tcW w:type="dxa" w:w="5499"/>
            <w:vAlign w:val="center"/>
          </w:tcPr>
          <w:p>
            <w:pPr>
              <w:jc w:val="left"/>
            </w:pPr>
            <w:r>
              <w:rPr>
                <w:rFonts w:ascii="Times New Roman" w:hAnsi="Times New Roman" w:cs="Times New Roman" w:eastAsia="Times New Roman"/>
                <w:b w:val="0"/>
                <w:i w:val="0"/>
                <w:sz w:val="20"/>
              </w:rPr>
              <w:t>________________________________</w:t>
            </w:r>
          </w:p>
        </w:tc>
      </w:tr>
      <w:tr>
        <w:tc>
          <w:tcPr>
            <w:tcW w:type="dxa" w:w="4082"/>
            <w:shd w:val="clear" w:fill="F4F7FB"/>
            <w:vAlign w:val="center"/>
          </w:tcPr>
          <w:p>
            <w:pPr>
              <w:jc w:val="left"/>
            </w:pPr>
            <w:r>
              <w:rPr>
                <w:rFonts w:ascii="Times New Roman" w:hAnsi="Times New Roman" w:cs="Times New Roman" w:eastAsia="Times New Roman"/>
                <w:b w:val="0"/>
                <w:i w:val="0"/>
                <w:sz w:val="20"/>
              </w:rPr>
              <w:t>10. Consignor code / OKPO</w:t>
            </w:r>
          </w:p>
        </w:tc>
        <w:tc>
          <w:tcPr>
            <w:tcW w:type="dxa" w:w="5499"/>
            <w:shd w:val="clear" w:fill="F4F7FB"/>
            <w:vAlign w:val="center"/>
          </w:tcPr>
          <w:p>
            <w:pPr>
              <w:jc w:val="left"/>
            </w:pPr>
            <w:r>
              <w:rPr>
                <w:rFonts w:ascii="Times New Roman" w:hAnsi="Times New Roman" w:cs="Times New Roman" w:eastAsia="Times New Roman"/>
                <w:b w:val="0"/>
                <w:i w:val="0"/>
                <w:sz w:val="20"/>
              </w:rPr>
              <w:t>________________________________</w:t>
            </w:r>
          </w:p>
        </w:tc>
      </w:tr>
    </w:tbl>
    <w:p/>
    <w:tbl>
      <w:tblPr>
        <w:tblW w:type="auto" w:w="0"/>
        <w:tblLook w:firstColumn="1" w:firstRow="1" w:lastColumn="0" w:lastRow="0" w:noHBand="0" w:noVBand="1" w:val="04A0"/>
        <w:tblBorders>
          <w:top w:val="none"/>
          <w:left w:val="none"/>
          <w:bottom w:val="none"/>
          <w:right w:val="none"/>
          <w:insideH w:val="none"/>
          <w:insideV w:val="none"/>
        </w:tblBorders>
        <w:tblLayout w:type="fixed"/>
        <w:tblCellMar>
          <w:top w:w="40" w:type="dxa"/>
          <w:left w:w="0" w:type="dxa"/>
          <w:bottom w:w="40" w:type="dxa"/>
          <w:right w:w="110" w:type="dxa"/>
        </w:tblCellMar>
        <w:tblLayout w:type="fixed"/>
      </w:tblPr>
      <w:tblGrid>
        <w:gridCol w:w="4791"/>
        <w:gridCol w:w="4791"/>
      </w:tblGrid>
      <w:tr>
        <w:tc>
          <w:tcPr>
            <w:tcW w:type="dxa" w:w="4791"/>
          </w:tcPr>
          <w:p>
            <w:pPr>
              <w:spacing w:after="160"/>
            </w:pPr>
            <w:r>
              <w:rPr>
                <w:rFonts w:ascii="Arial" w:hAnsi="Arial" w:cs="Arial" w:eastAsia="Arial"/>
                <w:b/>
                <w:i w:val="0"/>
                <w:color w:val="0A2547"/>
                <w:sz w:val="21"/>
              </w:rPr>
              <w:t>For the Seller:</w:t>
            </w:r>
          </w:p>
          <w:p>
            <w:pPr>
              <w:spacing w:after="80"/>
            </w:pPr>
            <w:r>
              <w:rPr>
                <w:rFonts w:ascii="Times New Roman" w:hAnsi="Times New Roman" w:cs="Times New Roman" w:eastAsia="Times New Roman"/>
                <w:b w:val="0"/>
                <w:i w:val="0"/>
                <w:sz w:val="22"/>
              </w:rPr>
              <w:t>________________ / ________________ /</w:t>
            </w:r>
          </w:p>
          <w:p>
            <w:pPr>
              <w:spacing w:after="80"/>
            </w:pPr>
            <w:r>
              <w:rPr>
                <w:rFonts w:ascii="Times New Roman" w:hAnsi="Times New Roman" w:cs="Times New Roman" w:eastAsia="Times New Roman"/>
                <w:b w:val="0"/>
                <w:i w:val="0"/>
                <w:color w:val="5A6572"/>
                <w:sz w:val="18"/>
              </w:rPr>
              <w:t>(signature, full name, position)</w:t>
            </w:r>
          </w:p>
          <w:p>
            <w:pPr>
              <w:spacing w:after="80"/>
            </w:pPr>
            <w:r>
              <w:rPr>
                <w:rFonts w:ascii="Times New Roman" w:hAnsi="Times New Roman" w:cs="Times New Roman" w:eastAsia="Times New Roman"/>
                <w:b w:val="0"/>
                <w:i w:val="0"/>
                <w:sz w:val="22"/>
              </w:rPr>
              <w:t>Seal</w:t>
            </w:r>
          </w:p>
        </w:tc>
        <w:tc>
          <w:tcPr>
            <w:tcW w:type="dxa" w:w="4791"/>
          </w:tcPr>
          <w:p>
            <w:pPr>
              <w:spacing w:after="160"/>
            </w:pPr>
            <w:r>
              <w:rPr>
                <w:rFonts w:ascii="Arial" w:hAnsi="Arial" w:cs="Arial" w:eastAsia="Arial"/>
                <w:b/>
                <w:i w:val="0"/>
                <w:color w:val="0A2547"/>
                <w:sz w:val="21"/>
              </w:rPr>
              <w:t>For the Buyer:</w:t>
            </w:r>
          </w:p>
          <w:p>
            <w:pPr>
              <w:spacing w:after="80"/>
            </w:pPr>
            <w:r>
              <w:rPr>
                <w:rFonts w:ascii="Times New Roman" w:hAnsi="Times New Roman" w:cs="Times New Roman" w:eastAsia="Times New Roman"/>
                <w:b w:val="0"/>
                <w:i w:val="0"/>
                <w:sz w:val="22"/>
              </w:rPr>
              <w:t>________________ / ________________ /</w:t>
            </w:r>
          </w:p>
          <w:p>
            <w:pPr>
              <w:spacing w:after="80"/>
            </w:pPr>
            <w:r>
              <w:rPr>
                <w:rFonts w:ascii="Times New Roman" w:hAnsi="Times New Roman" w:cs="Times New Roman" w:eastAsia="Times New Roman"/>
                <w:b w:val="0"/>
                <w:i w:val="0"/>
                <w:color w:val="5A6572"/>
                <w:sz w:val="18"/>
              </w:rPr>
              <w:t>(signature, full name, position)</w:t>
            </w:r>
          </w:p>
          <w:p>
            <w:pPr>
              <w:spacing w:after="80"/>
            </w:pPr>
            <w:r>
              <w:rPr>
                <w:rFonts w:ascii="Times New Roman" w:hAnsi="Times New Roman" w:cs="Times New Roman" w:eastAsia="Times New Roman"/>
                <w:b w:val="0"/>
                <w:i w:val="0"/>
                <w:sz w:val="22"/>
              </w:rPr>
              <w:t>Seal</w:t>
            </w:r>
          </w:p>
        </w:tc>
      </w:tr>
    </w:tbl>
    <w:sectPr w:rsidR="00FC693F" w:rsidRPr="0006063C" w:rsidSect="00034616">
      <w:headerReference w:type="default" r:id="rId9"/>
      <w:headerReference w:type="first" r:id="rId10"/>
      <w:footerReference w:type="default" r:id="rId11"/>
      <w:footerReference w:type="first" r:id="rId12"/>
      <w:pgSz w:w="11906" w:h="16838"/>
      <w:pgMar w:top="794" w:right="1020" w:bottom="964" w:left="1304" w:header="397" w:footer="397"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tabs>
        <w:tab w:pos="9581" w:val="right"/>
      </w:tabs>
      <w:spacing w:before="40"/>
      <w:pBdr>
        <w:top w:val="single" w:sz="4" w:space="2" w:color="C9A227"/>
      </w:pBdr>
    </w:pPr>
    <w:r>
      <w:rPr>
        <w:rFonts w:ascii="Arial" w:hAnsi="Arial" w:cs="Arial" w:eastAsia="Arial"/>
        <w:b w:val="0"/>
        <w:i w:val="0"/>
        <w:color w:val="5A6572"/>
        <w:sz w:val="16"/>
      </w:rPr>
      <w:t>Caspian Oil Industrial Company LLP  ·  caspian-oil.com</w:t>
    </w:r>
    <w:r>
      <w:rPr>
        <w:rFonts w:ascii="Arial" w:hAnsi="Arial" w:cs="Arial" w:eastAsia="Arial"/>
        <w:b w:val="0"/>
        <w:i w:val="0"/>
        <w:color w:val="5A6572"/>
        <w:sz w:val="16"/>
      </w:rPr>
      <w:tab/>
    </w:r>
    <w:r>
      <w:rPr>
        <w:rFonts w:ascii="Arial" w:hAnsi="Arial" w:cs="Arial" w:eastAsia="Arial"/>
        <w:b w:val="0"/>
        <w:i w:val="0"/>
        <w:color w:val="5A6572"/>
        <w:sz w:val="16"/>
      </w:rPr>
      <w:t xml:space="preserve">page </w:t>
    </w:r>
    <w:r>
      <w:rPr>
        <w:rFonts w:ascii="Arial" w:hAnsi="Arial" w:cs="Arial" w:eastAsia="Arial"/>
        <w:b w:val="0"/>
        <w:i w:val="0"/>
        <w:color w:val="5A6572"/>
        <w:sz w:val="16"/>
      </w:rPr>
      <w:fldChar w:fldCharType="begin"/>
      <w:instrText xml:space="preserve"> PAGE </w:instrText>
      <w:fldChar w:fldCharType="end"/>
    </w:r>
    <w:r>
      <w:rPr>
        <w:rFonts w:ascii="Arial" w:hAnsi="Arial" w:cs="Arial" w:eastAsia="Arial"/>
        <w:b w:val="0"/>
        <w:i w:val="0"/>
        <w:color w:val="5A6572"/>
        <w:sz w:val="16"/>
      </w:rPr>
      <w:t xml:space="preserve"> of </w:t>
    </w:r>
    <w:r>
      <w:rPr>
        <w:rFonts w:ascii="Arial" w:hAnsi="Arial" w:cs="Arial" w:eastAsia="Arial"/>
        <w:b w:val="0"/>
        <w:i w:val="0"/>
        <w:color w:val="5A6572"/>
        <w:sz w:val="16"/>
      </w:rPr>
      <w:fldChar w:fldCharType="begin"/>
      <w:instrText xml:space="preserve"> NUMPAGES </w:instrText>
      <w:fldChar w:fldCharType="end"/>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tabs>
        <w:tab w:pos="9581" w:val="right"/>
      </w:tabs>
      <w:spacing w:before="40"/>
      <w:pBdr>
        <w:top w:val="single" w:sz="4" w:space="2" w:color="C9A227"/>
      </w:pBdr>
    </w:pPr>
    <w:r>
      <w:rPr>
        <w:rFonts w:ascii="Arial" w:hAnsi="Arial" w:cs="Arial" w:eastAsia="Arial"/>
        <w:b w:val="0"/>
        <w:i w:val="0"/>
        <w:color w:val="5A6572"/>
        <w:sz w:val="16"/>
      </w:rPr>
      <w:t>Caspian Oil Industrial Company LLP  ·  caspian-oil.com</w:t>
    </w:r>
    <w:r>
      <w:rPr>
        <w:rFonts w:ascii="Arial" w:hAnsi="Arial" w:cs="Arial" w:eastAsia="Arial"/>
        <w:b w:val="0"/>
        <w:i w:val="0"/>
        <w:color w:val="5A6572"/>
        <w:sz w:val="16"/>
      </w:rPr>
      <w:tab/>
    </w:r>
    <w:r>
      <w:rPr>
        <w:rFonts w:ascii="Arial" w:hAnsi="Arial" w:cs="Arial" w:eastAsia="Arial"/>
        <w:b w:val="0"/>
        <w:i w:val="0"/>
        <w:color w:val="5A6572"/>
        <w:sz w:val="16"/>
      </w:rPr>
      <w:t xml:space="preserve">page </w:t>
    </w:r>
    <w:r>
      <w:rPr>
        <w:rFonts w:ascii="Arial" w:hAnsi="Arial" w:cs="Arial" w:eastAsia="Arial"/>
        <w:b w:val="0"/>
        <w:i w:val="0"/>
        <w:color w:val="5A6572"/>
        <w:sz w:val="16"/>
      </w:rPr>
      <w:fldChar w:fldCharType="begin"/>
      <w:instrText xml:space="preserve"> PAGE </w:instrText>
      <w:fldChar w:fldCharType="end"/>
    </w:r>
    <w:r>
      <w:rPr>
        <w:rFonts w:ascii="Arial" w:hAnsi="Arial" w:cs="Arial" w:eastAsia="Arial"/>
        <w:b w:val="0"/>
        <w:i w:val="0"/>
        <w:color w:val="5A6572"/>
        <w:sz w:val="16"/>
      </w:rPr>
      <w:t xml:space="preserve"> of </w:t>
    </w:r>
    <w:r>
      <w:rPr>
        <w:rFonts w:ascii="Arial" w:hAnsi="Arial" w:cs="Arial" w:eastAsia="Arial"/>
        <w:b w:val="0"/>
        <w:i w:val="0"/>
        <w:color w:val="5A6572"/>
        <w:sz w:val="16"/>
      </w:rPr>
      <w:fldChar w:fldCharType="begin"/>
      <w:instrText xml:space="preserve"> NUMPAGES </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40"/>
      <w:jc w:val="center"/>
      <w:pBdr>
        <w:bottom w:val="single" w:sz="4" w:space="2" w:color="C9A227"/>
      </w:pBdr>
    </w:pPr>
    <w:r>
      <w:rPr>
        <w:rFonts w:ascii="Arial" w:hAnsi="Arial" w:cs="Arial" w:eastAsia="Arial"/>
        <w:b w:val="0"/>
        <w:i w:val="0"/>
        <w:color w:val="5A6572"/>
        <w:sz w:val="16"/>
        <w:spacing w:val="30"/>
      </w:rPr>
      <w:t>CASPIAN OIL INDUSTRIAL COMPANY</w:t>
    </w:r>
  </w:p>
</w:hdr>
</file>

<file path=word/header2.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0" w:line="269" w:lineRule="auto"/>
    </w:pPr>
    <w:rPr>
      <w:rFonts w:ascii="Times New Roman" w:hAnsi="Times New Roman" w:cs="Times New Roman" w:eastAsia="Times New Roman"/>
      <w:rFonts w:ascii="Times New Roman" w:hAnsi="Times New Roman"/>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Sale and Purchase Agreement for petroleum products (standard form)</dc:title>
  <dc:subject/>
  <dc:creator>ТОО «Каспийская нефтепромышленная компания»</dc:creator>
  <cp:keywords/>
  <dc:description>generated by python-docx</dc:description>
  <cp:lastModifiedBy/>
  <cp:revision>1</cp:revision>
  <dcterms:created xsi:type="dcterms:W3CDTF">2013-12-23T23:15:00Z</dcterms:created>
  <dcterms:modified xsi:type="dcterms:W3CDTF">2013-12-23T23:15:00Z</dcterms:modified>
  <cp:category/>
</cp:coreProperties>
</file>